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docProps/custom.xml" ContentType="application/vnd.openxmlformats-officedocument.custom-properties+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customXml/itemProps2.xml" ContentType="application/vnd.openxmlformats-officedocument.customXmlProperties+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jc w:val="center"/>
        <w:spacing w:lineRule="exact" w:line="400" w:after="156"/>
        <w:rPr>
          <w:rFonts w:ascii="Arial" w:hAnsi="Arial" w:cs="Arial"/>
          <w:b/>
          <w:bCs/>
          <w:sz w:val="24"/>
          <w:szCs w:val="24"/>
        </w:rPr>
      </w:pPr>
      <w:r>
        <w:rPr>
          <w:rFonts w:ascii="Arial" w:hAnsi="Arial" w:cs="Arial"/>
          <w:b/>
          <w:bCs/>
          <w:sz w:val="24"/>
          <w:szCs w:val="24"/>
        </w:rPr>
        <w:t xml:space="preserve">Local</w:t>
      </w:r>
      <w:r>
        <w:rPr>
          <w:rFonts w:ascii="Arial" w:hAnsi="Arial" w:cs="Arial"/>
          <w:b/>
          <w:bCs/>
          <w:sz w:val="24"/>
          <w:szCs w:val="24"/>
        </w:rPr>
        <w:t xml:space="preserve"> </w:t>
      </w:r>
      <w:r>
        <w:rPr>
          <w:rFonts w:ascii="Arial" w:hAnsi="Arial" w:cs="Arial"/>
          <w:b/>
          <w:bCs/>
          <w:sz w:val="24"/>
          <w:szCs w:val="24"/>
        </w:rPr>
        <w:t xml:space="preserve">Magnetic</w:t>
      </w:r>
      <w:r>
        <w:rPr>
          <w:rFonts w:ascii="Arial" w:hAnsi="Arial" w:cs="Arial"/>
          <w:b/>
          <w:bCs/>
          <w:sz w:val="24"/>
          <w:szCs w:val="24"/>
        </w:rPr>
        <w:t xml:space="preserve"> </w:t>
      </w:r>
      <w:r>
        <w:rPr>
          <w:rFonts w:ascii="Arial" w:hAnsi="Arial" w:cs="Arial"/>
          <w:b/>
          <w:bCs/>
          <w:sz w:val="24"/>
          <w:szCs w:val="24"/>
        </w:rPr>
        <w:t xml:space="preserve">Field</w:t>
      </w:r>
      <w:r>
        <w:rPr>
          <w:rFonts w:ascii="Arial" w:hAnsi="Arial" w:cs="Arial"/>
          <w:b/>
          <w:bCs/>
          <w:sz w:val="24"/>
          <w:szCs w:val="24"/>
        </w:rPr>
        <w:t xml:space="preserve"> </w:t>
      </w:r>
      <w:r>
        <w:rPr>
          <w:rFonts w:ascii="Arial" w:hAnsi="Arial" w:cs="Arial"/>
          <w:b/>
          <w:bCs/>
          <w:sz w:val="24"/>
          <w:szCs w:val="24"/>
        </w:rPr>
        <w:t xml:space="preserve">Promoted Photocatalytic Water Splitting </w:t>
      </w:r>
      <w:r>
        <w:rPr>
          <w:rFonts w:ascii="Arial" w:hAnsi="Arial" w:cs="Arial"/>
          <w:b/>
          <w:bCs/>
          <w:sz w:val="24"/>
          <w:szCs w:val="24"/>
        </w:rPr>
        <w:t xml:space="preserve">w</w:t>
      </w:r>
      <w:r>
        <w:rPr>
          <w:rFonts w:ascii="Arial" w:hAnsi="Arial" w:cs="Arial"/>
          <w:b/>
          <w:bCs/>
          <w:sz w:val="24"/>
          <w:szCs w:val="24"/>
        </w:rPr>
        <w:t xml:space="preserve">ith </w:t>
      </w:r>
      <w:r>
        <w:rPr>
          <w:rFonts w:ascii="Arial" w:hAnsi="Arial" w:cs="Arial"/>
          <w:b/>
          <w:bCs/>
          <w:sz w:val="24"/>
          <w:szCs w:val="24"/>
        </w:rPr>
        <w:t xml:space="preserve">Remarkable</w:t>
      </w:r>
      <w:r>
        <w:rPr>
          <w:rFonts w:ascii="Arial" w:hAnsi="Arial" w:cs="Arial"/>
          <w:b/>
          <w:bCs/>
          <w:sz w:val="24"/>
          <w:szCs w:val="24"/>
        </w:rPr>
        <w:t xml:space="preserve"> </w:t>
      </w:r>
      <w:r>
        <w:rPr>
          <w:rFonts w:ascii="Arial" w:hAnsi="Arial" w:cs="Arial"/>
          <w:b/>
          <w:bCs/>
          <w:sz w:val="24"/>
          <w:szCs w:val="24"/>
        </w:rPr>
        <w:t xml:space="preserve">Solar-to-</w:t>
      </w:r>
      <w:r>
        <w:rPr>
          <w:rFonts w:ascii="Arial" w:hAnsi="Arial" w:cs="Arial"/>
          <w:b/>
          <w:bCs/>
          <w:sz w:val="24"/>
          <w:szCs w:val="24"/>
        </w:rPr>
        <w:t xml:space="preserve">H</w:t>
      </w:r>
      <w:r>
        <w:rPr>
          <w:rFonts w:ascii="Arial" w:hAnsi="Arial" w:cs="Arial"/>
          <w:b/>
          <w:bCs/>
          <w:sz w:val="24"/>
          <w:szCs w:val="24"/>
        </w:rPr>
        <w:t xml:space="preserve">ydrogen</w:t>
      </w:r>
      <w:r>
        <w:rPr>
          <w:rFonts w:ascii="Arial" w:hAnsi="Arial" w:cs="Arial"/>
          <w:b/>
          <w:bCs/>
          <w:sz w:val="24"/>
          <w:szCs w:val="24"/>
        </w:rPr>
        <w:t xml:space="preserve"> Efficienc</w:t>
      </w:r>
      <w:r>
        <w:rPr>
          <w:rFonts w:ascii="Arial" w:hAnsi="Arial" w:cs="Arial"/>
          <w:b/>
          <w:bCs/>
          <w:sz w:val="24"/>
          <w:szCs w:val="24"/>
        </w:rPr>
        <w:t xml:space="preserve">y</w:t>
      </w:r>
      <w:r>
        <w:rPr>
          <w:rFonts w:ascii="Arial" w:hAnsi="Arial" w:cs="Arial"/>
          <w:b/>
          <w:bCs/>
          <w:sz w:val="24"/>
          <w:szCs w:val="24"/>
        </w:rPr>
        <w:t xml:space="preserve"> </w:t>
      </w:r>
      <w:r/>
    </w:p>
    <w:p>
      <w:pPr>
        <w:jc w:val="center"/>
        <w:spacing w:lineRule="exact" w:line="400" w:after="156"/>
        <w:rPr>
          <w:rFonts w:ascii="Times New Roman" w:hAnsi="Times New Roman" w:cs="Times New Roman"/>
          <w:sz w:val="21"/>
          <w:szCs w:val="21"/>
        </w:rPr>
      </w:pPr>
      <w:r>
        <w:rPr>
          <w:rFonts w:ascii="Times New Roman" w:hAnsi="Times New Roman" w:cs="Times New Roman"/>
          <w:sz w:val="21"/>
          <w:szCs w:val="21"/>
        </w:rPr>
        <w:t xml:space="preserve">Yiyang</w:t>
      </w:r>
      <w:r>
        <w:rPr>
          <w:rFonts w:ascii="Times New Roman" w:hAnsi="Times New Roman" w:cs="Times New Roman"/>
          <w:sz w:val="21"/>
          <w:szCs w:val="21"/>
        </w:rPr>
        <w:t xml:space="preserve"> Li</w:t>
      </w:r>
      <w:r>
        <w:rPr>
          <w:rFonts w:ascii="Times New Roman" w:hAnsi="Times New Roman" w:cs="Times New Roman"/>
          <w:sz w:val="21"/>
          <w:szCs w:val="21"/>
          <w:vertAlign w:val="superscript"/>
        </w:rPr>
        <w:t xml:space="preserve"> [1]</w:t>
      </w:r>
      <w:r>
        <w:rPr>
          <w:rFonts w:ascii="Times New Roman" w:hAnsi="Times New Roman" w:cs="Times New Roman"/>
          <w:sz w:val="21"/>
          <w:szCs w:val="21"/>
        </w:rPr>
        <w:t xml:space="preserve">, </w:t>
      </w:r>
      <w:r>
        <w:rPr>
          <w:rFonts w:ascii="Times New Roman" w:hAnsi="Times New Roman" w:cs="Times New Roman"/>
          <w:sz w:val="21"/>
          <w:szCs w:val="21"/>
        </w:rPr>
        <w:t xml:space="preserve">Zihan</w:t>
      </w:r>
      <w:r>
        <w:rPr>
          <w:rFonts w:ascii="Times New Roman" w:hAnsi="Times New Roman" w:cs="Times New Roman"/>
          <w:sz w:val="21"/>
          <w:szCs w:val="21"/>
        </w:rPr>
        <w:t xml:space="preserve"> Wang</w:t>
      </w:r>
      <w:r>
        <w:rPr>
          <w:rFonts w:ascii="Times New Roman" w:hAnsi="Times New Roman" w:cs="Times New Roman"/>
          <w:sz w:val="21"/>
          <w:szCs w:val="21"/>
          <w:vertAlign w:val="superscript"/>
        </w:rPr>
        <w:t xml:space="preserve"> [2]</w:t>
      </w:r>
      <w:r>
        <w:rPr>
          <w:rFonts w:ascii="Times New Roman" w:hAnsi="Times New Roman" w:cs="Times New Roman"/>
          <w:sz w:val="21"/>
          <w:szCs w:val="21"/>
        </w:rPr>
        <w:t xml:space="preserve">, </w:t>
      </w:r>
      <w:r>
        <w:rPr>
          <w:rFonts w:ascii="Times New Roman" w:hAnsi="Times New Roman" w:cs="Times New Roman"/>
          <w:sz w:val="21"/>
          <w:szCs w:val="21"/>
        </w:rPr>
        <w:t xml:space="preserve">Yiqi</w:t>
      </w:r>
      <w:r>
        <w:rPr>
          <w:rFonts w:ascii="Times New Roman" w:hAnsi="Times New Roman" w:cs="Times New Roman"/>
          <w:sz w:val="21"/>
          <w:szCs w:val="21"/>
        </w:rPr>
        <w:t xml:space="preserve"> </w:t>
      </w:r>
      <w:r>
        <w:rPr>
          <w:rFonts w:ascii="Times New Roman" w:hAnsi="Times New Roman" w:cs="Times New Roman"/>
          <w:sz w:val="21"/>
          <w:szCs w:val="21"/>
        </w:rPr>
        <w:t xml:space="preserve">Wang</w:t>
      </w:r>
      <w:r>
        <w:rPr>
          <w:rFonts w:ascii="Times New Roman" w:hAnsi="Times New Roman" w:cs="Times New Roman"/>
          <w:sz w:val="21"/>
          <w:szCs w:val="21"/>
          <w:vertAlign w:val="superscript"/>
        </w:rPr>
        <w:t xml:space="preserve">[</w:t>
      </w:r>
      <w:r>
        <w:rPr>
          <w:rFonts w:ascii="Times New Roman" w:hAnsi="Times New Roman" w:cs="Times New Roman"/>
          <w:sz w:val="21"/>
          <w:szCs w:val="21"/>
          <w:vertAlign w:val="superscript"/>
        </w:rPr>
        <w:t xml:space="preserve">2]</w:t>
      </w:r>
      <w:r>
        <w:rPr>
          <w:rFonts w:ascii="Times New Roman" w:hAnsi="Times New Roman" w:cs="Times New Roman"/>
          <w:sz w:val="21"/>
          <w:szCs w:val="21"/>
        </w:rPr>
        <w:t xml:space="preserve">, Andras Kovacs </w:t>
      </w:r>
      <w:r>
        <w:rPr>
          <w:rFonts w:ascii="Times New Roman" w:hAnsi="Times New Roman" w:cs="Times New Roman"/>
          <w:sz w:val="21"/>
          <w:szCs w:val="21"/>
          <w:vertAlign w:val="superscript"/>
        </w:rPr>
        <w:t xml:space="preserve">[3]</w:t>
      </w:r>
      <w:r>
        <w:rPr>
          <w:rFonts w:ascii="Times New Roman" w:hAnsi="Times New Roman" w:cs="Times New Roman"/>
          <w:sz w:val="21"/>
          <w:szCs w:val="21"/>
        </w:rPr>
        <w:t xml:space="preserve">, Christopher Foo </w:t>
      </w:r>
      <w:r>
        <w:rPr>
          <w:rFonts w:ascii="Times New Roman" w:hAnsi="Times New Roman" w:cs="Times New Roman"/>
          <w:sz w:val="21"/>
          <w:szCs w:val="21"/>
          <w:vertAlign w:val="superscript"/>
        </w:rPr>
        <w:t xml:space="preserve">[1]</w:t>
      </w:r>
      <w:r>
        <w:rPr>
          <w:rFonts w:ascii="Times New Roman" w:hAnsi="Times New Roman" w:cs="Times New Roman"/>
          <w:sz w:val="21"/>
          <w:szCs w:val="21"/>
        </w:rPr>
        <w:t xml:space="preserve">, Rafal Dunin-Borkowski </w:t>
      </w:r>
      <w:r>
        <w:rPr>
          <w:rFonts w:ascii="Times New Roman" w:hAnsi="Times New Roman" w:cs="Times New Roman"/>
          <w:sz w:val="21"/>
          <w:szCs w:val="21"/>
          <w:vertAlign w:val="superscript"/>
        </w:rPr>
        <w:t xml:space="preserve">[3]</w:t>
      </w:r>
      <w:r>
        <w:rPr>
          <w:rFonts w:ascii="Times New Roman" w:hAnsi="Times New Roman" w:cs="Times New Roman"/>
          <w:sz w:val="21"/>
          <w:szCs w:val="21"/>
        </w:rPr>
        <w:t xml:space="preserve">, </w:t>
      </w:r>
      <w:r>
        <w:rPr>
          <w:rFonts w:ascii="Times New Roman" w:hAnsi="Times New Roman" w:cs="Times New Roman"/>
          <w:sz w:val="21"/>
          <w:szCs w:val="21"/>
        </w:rPr>
        <w:t xml:space="preserve">Yunhao</w:t>
      </w:r>
      <w:r>
        <w:rPr>
          <w:rFonts w:ascii="Times New Roman" w:hAnsi="Times New Roman" w:cs="Times New Roman"/>
          <w:sz w:val="21"/>
          <w:szCs w:val="21"/>
        </w:rPr>
        <w:t xml:space="preserve"> Lu</w:t>
      </w:r>
      <w:r>
        <w:rPr>
          <w:rFonts w:ascii="Times New Roman" w:hAnsi="Times New Roman" w:cs="Times New Roman"/>
          <w:sz w:val="21"/>
          <w:szCs w:val="21"/>
          <w:vertAlign w:val="superscript"/>
        </w:rPr>
        <w:t xml:space="preserve"> [2]</w:t>
      </w:r>
      <w:r>
        <w:rPr>
          <w:rFonts w:ascii="Times New Roman" w:hAnsi="Times New Roman" w:cs="Times New Roman"/>
          <w:sz w:val="21"/>
          <w:szCs w:val="21"/>
        </w:rPr>
        <w:t xml:space="preserve">, Robert A. Taylor</w:t>
      </w:r>
      <w:r>
        <w:rPr>
          <w:rFonts w:ascii="Times New Roman" w:hAnsi="Times New Roman" w:cs="Times New Roman"/>
          <w:sz w:val="21"/>
          <w:szCs w:val="21"/>
          <w:vertAlign w:val="superscript"/>
        </w:rPr>
        <w:t xml:space="preserve"> [4]</w:t>
      </w:r>
      <w:r>
        <w:rPr>
          <w:rFonts w:ascii="Times New Roman" w:hAnsi="Times New Roman" w:cs="Times New Roman"/>
          <w:sz w:val="21"/>
          <w:szCs w:val="21"/>
        </w:rPr>
        <w:t xml:space="preserve">, Chen Wu</w:t>
      </w:r>
      <w:r>
        <w:rPr>
          <w:rFonts w:ascii="Times New Roman" w:hAnsi="Times New Roman" w:cs="Times New Roman"/>
          <w:sz w:val="21"/>
          <w:szCs w:val="21"/>
          <w:vertAlign w:val="superscript"/>
        </w:rPr>
        <w:t xml:space="preserve"> [2]</w:t>
      </w:r>
      <w:r>
        <w:rPr>
          <w:rFonts w:ascii="Times New Roman" w:hAnsi="Times New Roman" w:cs="Times New Roman"/>
          <w:sz w:val="21"/>
          <w:szCs w:val="21"/>
        </w:rPr>
        <w:t xml:space="preserve">*, </w:t>
      </w:r>
      <w:r>
        <w:rPr>
          <w:rFonts w:ascii="Times New Roman" w:hAnsi="Times New Roman" w:cs="Times New Roman"/>
          <w:sz w:val="21"/>
          <w:szCs w:val="21"/>
        </w:rPr>
        <w:t xml:space="preserve">Shik</w:t>
      </w:r>
      <w:r>
        <w:rPr>
          <w:rFonts w:ascii="Times New Roman" w:hAnsi="Times New Roman" w:cs="Times New Roman"/>
          <w:sz w:val="21"/>
          <w:szCs w:val="21"/>
        </w:rPr>
        <w:t xml:space="preserve"> Chi Edman Tsang</w:t>
      </w:r>
      <w:r>
        <w:rPr>
          <w:rFonts w:ascii="Times New Roman" w:hAnsi="Times New Roman" w:cs="Times New Roman"/>
          <w:sz w:val="21"/>
          <w:szCs w:val="21"/>
          <w:vertAlign w:val="superscript"/>
        </w:rPr>
        <w:t xml:space="preserve"> [1]</w:t>
      </w:r>
      <w:r>
        <w:rPr>
          <w:rFonts w:ascii="Times New Roman" w:hAnsi="Times New Roman" w:cs="Times New Roman"/>
          <w:sz w:val="21"/>
          <w:szCs w:val="21"/>
        </w:rPr>
        <w:t xml:space="preserve">*</w:t>
      </w:r>
      <w:r/>
    </w:p>
    <w:p>
      <w:pPr>
        <w:jc w:val="both"/>
        <w:spacing w:lineRule="exact" w:line="400" w:after="156"/>
        <w:rPr>
          <w:rFonts w:ascii="Times New Roman" w:hAnsi="Times New Roman" w:cs="Times New Roman" w:eastAsia="Times New Roman"/>
          <w:color w:val="000000"/>
          <w:sz w:val="21"/>
          <w:szCs w:val="21"/>
          <w:lang w:eastAsia="en-US"/>
        </w:rPr>
      </w:pPr>
      <w:r>
        <w:rPr>
          <w:rFonts w:ascii="Times New Roman" w:hAnsi="Times New Roman" w:cs="Times New Roman" w:eastAsia="Times New Roman"/>
          <w:color w:val="000000" w:themeColor="text1"/>
          <w:sz w:val="21"/>
          <w:szCs w:val="21"/>
          <w:vertAlign w:val="superscript"/>
          <w:lang w:eastAsia="en-US"/>
        </w:rPr>
        <w:t xml:space="preserve">[1]</w:t>
      </w:r>
      <w:r>
        <w:rPr>
          <w:rFonts w:ascii="Times New Roman" w:hAnsi="Times New Roman" w:cs="Times New Roman" w:hint="eastAsia"/>
          <w:color w:val="000000" w:themeColor="text1"/>
          <w:sz w:val="21"/>
          <w:szCs w:val="21"/>
          <w:vertAlign w:val="superscript"/>
        </w:rPr>
        <w:t xml:space="preserve"> </w:t>
      </w:r>
      <w:r>
        <w:rPr>
          <w:rFonts w:ascii="Times New Roman" w:hAnsi="Times New Roman" w:cs="Times New Roman" w:eastAsia="Times New Roman"/>
          <w:color w:val="000000" w:themeColor="text1"/>
          <w:sz w:val="21"/>
          <w:szCs w:val="21"/>
          <w:lang w:eastAsia="en-US"/>
        </w:rPr>
        <w:t xml:space="preserve">Wolfson Catalysis Centre, Department of Chemistry, University of Oxford, Oxford, OX1 3QR, UK</w:t>
      </w:r>
      <w:r/>
    </w:p>
    <w:p>
      <w:pPr>
        <w:jc w:val="both"/>
        <w:spacing w:lineRule="exact" w:line="400" w:after="156"/>
        <w:rPr>
          <w:rFonts w:ascii="Times New Roman" w:hAnsi="Times New Roman" w:cs="Times New Roman"/>
          <w:color w:val="000000"/>
          <w:sz w:val="21"/>
          <w:szCs w:val="21"/>
        </w:rPr>
      </w:pPr>
      <w:r>
        <w:rPr>
          <w:rFonts w:ascii="Times New Roman" w:hAnsi="Times New Roman" w:cs="Times New Roman" w:eastAsia="Times New Roman"/>
          <w:color w:val="000000" w:themeColor="text1"/>
          <w:sz w:val="21"/>
          <w:szCs w:val="21"/>
          <w:vertAlign w:val="superscript"/>
          <w:lang w:eastAsia="en-US"/>
        </w:rPr>
        <w:t xml:space="preserve">[</w:t>
      </w:r>
      <w:r>
        <w:rPr>
          <w:rFonts w:ascii="Times New Roman" w:hAnsi="Times New Roman" w:cs="Times New Roman"/>
          <w:color w:val="000000" w:themeColor="text1"/>
          <w:sz w:val="21"/>
          <w:szCs w:val="21"/>
          <w:vertAlign w:val="superscript"/>
        </w:rPr>
        <w:t xml:space="preserve">2</w:t>
      </w:r>
      <w:r>
        <w:rPr>
          <w:rFonts w:ascii="Times New Roman" w:hAnsi="Times New Roman" w:cs="Times New Roman" w:eastAsia="Times New Roman"/>
          <w:color w:val="000000" w:themeColor="text1"/>
          <w:sz w:val="21"/>
          <w:szCs w:val="21"/>
          <w:vertAlign w:val="superscript"/>
          <w:lang w:eastAsia="en-US"/>
        </w:rPr>
        <w:t xml:space="preserve">]</w:t>
      </w:r>
      <w:r>
        <w:rPr>
          <w:rFonts w:ascii="Times New Roman" w:hAnsi="Times New Roman" w:cs="Times New Roman" w:hint="eastAsia"/>
          <w:color w:val="000000" w:themeColor="text1"/>
          <w:sz w:val="21"/>
          <w:szCs w:val="21"/>
          <w:vertAlign w:val="superscript"/>
        </w:rPr>
        <w:t xml:space="preserve"> </w:t>
      </w:r>
      <w:r>
        <w:rPr>
          <w:rFonts w:ascii="Times New Roman" w:hAnsi="Times New Roman" w:cs="Times New Roman" w:hint="eastAsia"/>
          <w:color w:val="000000" w:themeColor="text1"/>
          <w:sz w:val="21"/>
          <w:szCs w:val="21"/>
        </w:rPr>
        <w:t xml:space="preserve">School of Materials Science and </w:t>
      </w:r>
      <w:r>
        <w:rPr>
          <w:rFonts w:ascii="Times New Roman" w:hAnsi="Times New Roman" w:cs="Times New Roman" w:hint="eastAsia"/>
          <w:color w:val="000000" w:themeColor="text1"/>
          <w:sz w:val="21"/>
          <w:szCs w:val="21"/>
        </w:rPr>
        <w:t xml:space="preserve">Engineering</w:t>
      </w:r>
      <w:r>
        <w:rPr>
          <w:rFonts w:ascii="Times New Roman" w:hAnsi="Times New Roman" w:cs="Times New Roman" w:hint="eastAsia"/>
          <w:color w:val="000000" w:themeColor="text1"/>
          <w:sz w:val="21"/>
          <w:szCs w:val="21"/>
        </w:rPr>
        <w:t xml:space="preserve">, State Key Laboratory of Silicon Materials, Zhejiang University, Hangzhou, 310027, China</w:t>
      </w:r>
      <w:r/>
    </w:p>
    <w:p>
      <w:pPr>
        <w:jc w:val="both"/>
        <w:spacing w:lineRule="exact" w:line="400" w:after="156"/>
        <w:rPr>
          <w:rFonts w:ascii="Times New Roman" w:hAnsi="Times New Roman" w:cs="Times New Roman"/>
          <w:color w:val="000000"/>
          <w:sz w:val="21"/>
          <w:szCs w:val="21"/>
        </w:rPr>
      </w:pPr>
      <w:r>
        <w:rPr>
          <w:rFonts w:ascii="Times New Roman" w:hAnsi="Times New Roman" w:cs="Times New Roman"/>
          <w:color w:val="000000" w:themeColor="text1"/>
          <w:sz w:val="21"/>
          <w:szCs w:val="21"/>
          <w:vertAlign w:val="superscript"/>
        </w:rPr>
        <w:t xml:space="preserve">[3]</w:t>
      </w:r>
      <w:r>
        <w:rPr>
          <w:rFonts w:ascii="Times New Roman" w:hAnsi="Times New Roman" w:cs="Times New Roman"/>
          <w:color w:val="000000" w:themeColor="text1"/>
          <w:sz w:val="21"/>
          <w:szCs w:val="21"/>
        </w:rPr>
        <w:t xml:space="preserve"> Peter Gruenberg Institute, </w:t>
      </w:r>
      <w:r>
        <w:rPr>
          <w:rFonts w:ascii="Times New Roman" w:hAnsi="Times New Roman" w:cs="Times New Roman"/>
          <w:color w:val="000000" w:themeColor="text1"/>
          <w:sz w:val="21"/>
          <w:szCs w:val="21"/>
        </w:rPr>
        <w:t xml:space="preserve">Research Centre </w:t>
      </w:r>
      <w:r>
        <w:rPr>
          <w:rFonts w:ascii="Times New Roman" w:hAnsi="Times New Roman" w:cs="Times New Roman"/>
          <w:color w:val="000000" w:themeColor="text1"/>
          <w:sz w:val="21"/>
          <w:szCs w:val="21"/>
        </w:rPr>
        <w:t xml:space="preserve">Juelich</w:t>
      </w:r>
      <w:r>
        <w:rPr>
          <w:rFonts w:ascii="Times New Roman" w:hAnsi="Times New Roman" w:cs="Times New Roman"/>
          <w:color w:val="000000" w:themeColor="text1"/>
          <w:sz w:val="21"/>
          <w:szCs w:val="21"/>
        </w:rPr>
        <w:t xml:space="preserve">, </w:t>
      </w:r>
      <w:r>
        <w:rPr>
          <w:rFonts w:ascii="Times New Roman" w:hAnsi="Times New Roman" w:cs="Times New Roman"/>
          <w:color w:val="000000" w:themeColor="text1"/>
          <w:sz w:val="21"/>
          <w:szCs w:val="21"/>
        </w:rPr>
        <w:t xml:space="preserve">52425 </w:t>
      </w:r>
      <w:r>
        <w:rPr>
          <w:rFonts w:ascii="Times New Roman" w:hAnsi="Times New Roman" w:cs="Times New Roman"/>
          <w:color w:val="000000" w:themeColor="text1"/>
          <w:sz w:val="21"/>
          <w:szCs w:val="21"/>
        </w:rPr>
        <w:t xml:space="preserve">Juelich</w:t>
      </w:r>
      <w:r>
        <w:rPr>
          <w:rFonts w:ascii="Times New Roman" w:hAnsi="Times New Roman" w:cs="Times New Roman"/>
          <w:color w:val="000000" w:themeColor="text1"/>
          <w:sz w:val="21"/>
          <w:szCs w:val="21"/>
        </w:rPr>
        <w:t xml:space="preserve">, Germany</w:t>
      </w:r>
      <w:r/>
    </w:p>
    <w:p>
      <w:pPr>
        <w:jc w:val="both"/>
        <w:spacing w:lineRule="exact" w:line="400" w:after="156"/>
        <w:rPr>
          <w:rFonts w:ascii="Times New Roman" w:hAnsi="Times New Roman" w:cs="Times New Roman" w:eastAsia="Times New Roman"/>
          <w:color w:val="000000"/>
          <w:sz w:val="21"/>
          <w:szCs w:val="21"/>
          <w:lang w:eastAsia="en-US"/>
        </w:rPr>
      </w:pPr>
      <w:r>
        <w:rPr>
          <w:rFonts w:ascii="Times New Roman" w:hAnsi="Times New Roman" w:cs="Times New Roman" w:eastAsia="Times New Roman"/>
          <w:color w:val="000000" w:themeColor="text1"/>
          <w:sz w:val="21"/>
          <w:szCs w:val="21"/>
          <w:vertAlign w:val="superscript"/>
          <w:lang w:eastAsia="en-US"/>
        </w:rPr>
        <w:t xml:space="preserve">[</w:t>
      </w:r>
      <w:r>
        <w:rPr>
          <w:rFonts w:ascii="Times New Roman" w:hAnsi="Times New Roman" w:cs="Times New Roman"/>
          <w:color w:val="000000" w:themeColor="text1"/>
          <w:sz w:val="21"/>
          <w:szCs w:val="21"/>
          <w:vertAlign w:val="superscript"/>
        </w:rPr>
        <w:t xml:space="preserve">4</w:t>
      </w:r>
      <w:r>
        <w:rPr>
          <w:rFonts w:ascii="Times New Roman" w:hAnsi="Times New Roman" w:cs="Times New Roman" w:eastAsia="Times New Roman"/>
          <w:color w:val="000000" w:themeColor="text1"/>
          <w:sz w:val="21"/>
          <w:szCs w:val="21"/>
          <w:vertAlign w:val="superscript"/>
          <w:lang w:eastAsia="en-US"/>
        </w:rPr>
        <w:t xml:space="preserve">]</w:t>
      </w:r>
      <w:r>
        <w:rPr>
          <w:rFonts w:ascii="Times New Roman" w:hAnsi="Times New Roman" w:cs="Times New Roman" w:hint="eastAsia"/>
          <w:color w:val="000000" w:themeColor="text1"/>
          <w:sz w:val="21"/>
          <w:szCs w:val="21"/>
          <w:vertAlign w:val="superscript"/>
        </w:rPr>
        <w:t xml:space="preserve"> </w:t>
      </w:r>
      <w:r>
        <w:rPr>
          <w:rFonts w:ascii="Times New Roman" w:hAnsi="Times New Roman" w:cs="Times New Roman" w:eastAsia="Times New Roman"/>
          <w:color w:val="000000" w:themeColor="text1"/>
          <w:sz w:val="21"/>
          <w:szCs w:val="21"/>
          <w:lang w:eastAsia="en-US"/>
        </w:rPr>
        <w:t xml:space="preserve">Clarendon Laboratory, Department of Physics, </w:t>
      </w:r>
      <w:r>
        <w:rPr>
          <w:rFonts w:ascii="Times New Roman" w:hAnsi="Times New Roman" w:cs="Times New Roman" w:eastAsia="Times New Roman"/>
          <w:color w:val="000000" w:themeColor="text1"/>
          <w:sz w:val="21"/>
          <w:szCs w:val="21"/>
          <w:lang w:eastAsia="en-US"/>
        </w:rPr>
        <w:t xml:space="preserve">University</w:t>
      </w:r>
      <w:r>
        <w:rPr>
          <w:rFonts w:ascii="Times New Roman" w:hAnsi="Times New Roman" w:cs="Times New Roman" w:eastAsia="Times New Roman"/>
          <w:color w:val="000000" w:themeColor="text1"/>
          <w:sz w:val="21"/>
          <w:szCs w:val="21"/>
          <w:lang w:eastAsia="en-US"/>
        </w:rPr>
        <w:t xml:space="preserve"> of Oxford, Oxford, OX1 3</w:t>
      </w:r>
      <w:r>
        <w:rPr>
          <w:rFonts w:ascii="Times New Roman" w:hAnsi="Times New Roman" w:cs="Times New Roman" w:eastAsia="Times New Roman"/>
          <w:color w:val="000000" w:themeColor="text1"/>
          <w:sz w:val="21"/>
          <w:szCs w:val="21"/>
          <w:lang w:eastAsia="en-US"/>
        </w:rPr>
        <w:t xml:space="preserve">PU</w:t>
      </w:r>
      <w:r>
        <w:rPr>
          <w:rFonts w:ascii="Times New Roman" w:hAnsi="Times New Roman" w:cs="Times New Roman" w:eastAsia="Times New Roman"/>
          <w:color w:val="000000" w:themeColor="text1"/>
          <w:sz w:val="21"/>
          <w:szCs w:val="21"/>
          <w:lang w:eastAsia="en-US"/>
        </w:rPr>
        <w:t xml:space="preserve">, UK</w:t>
      </w:r>
      <w:r/>
    </w:p>
    <w:p>
      <w:pPr>
        <w:jc w:val="both"/>
        <w:spacing w:lineRule="exact" w:line="400" w:after="156"/>
      </w:pPr>
      <w:r>
        <w:rPr>
          <w:rFonts w:ascii="Times New Roman" w:hAnsi="Times New Roman" w:cs="Times New Roman" w:eastAsia="Times New Roman"/>
          <w:color w:val="000000" w:themeColor="text1"/>
          <w:sz w:val="21"/>
          <w:szCs w:val="21"/>
          <w:lang w:eastAsia="en-US"/>
        </w:rPr>
        <w:t xml:space="preserve">*Correspondence to: </w:t>
      </w:r>
      <w:hyperlink r:id="rId11" w:tooltip="mailto:edman.tsang@chem.ox.ac.uk" w:history="1">
        <w:r>
          <w:rPr>
            <w:rStyle w:val="656"/>
            <w:rFonts w:ascii="Times New Roman" w:hAnsi="Times New Roman" w:cs="Times New Roman" w:eastAsia="Times New Roman"/>
            <w:sz w:val="21"/>
            <w:szCs w:val="21"/>
            <w:lang w:eastAsia="en-US"/>
          </w:rPr>
          <w:t xml:space="preserve">edman.tsang@chem.ox.ac.uk</w:t>
        </w:r>
      </w:hyperlink>
      <w:r>
        <w:rPr>
          <w:rStyle w:val="656"/>
          <w:rFonts w:ascii="Times New Roman" w:hAnsi="Times New Roman" w:cs="Times New Roman" w:eastAsia="Times New Roman"/>
          <w:sz w:val="21"/>
          <w:szCs w:val="21"/>
          <w:lang w:eastAsia="en-US"/>
        </w:rPr>
        <w:t xml:space="preserve">; </w:t>
      </w:r>
      <w:r>
        <w:rPr>
          <w:rStyle w:val="656"/>
          <w:rFonts w:ascii="Times New Roman" w:hAnsi="Times New Roman" w:cs="Times New Roman" w:eastAsia="Times New Roman"/>
          <w:sz w:val="21"/>
          <w:szCs w:val="21"/>
          <w:lang w:eastAsia="en-US"/>
        </w:rPr>
        <w:t xml:space="preserve">chen_wu@zju.edu.cn</w:t>
      </w:r>
      <w:r/>
    </w:p>
    <w:p>
      <w:pPr>
        <w:jc w:val="both"/>
        <w:spacing w:lineRule="exact" w:line="400" w:after="156"/>
        <w:rPr>
          <w:rFonts w:ascii="Times New Roman" w:hAnsi="Times New Roman" w:cs="Times New Roman" w:eastAsia="Times New Roman"/>
          <w:color w:val="000000"/>
          <w:sz w:val="21"/>
          <w:szCs w:val="21"/>
          <w:lang w:eastAsia="en-US"/>
        </w:rPr>
      </w:pPr>
      <w:r>
        <w:rPr>
          <w:rFonts w:ascii="Times New Roman" w:hAnsi="Times New Roman" w:cs="Times New Roman" w:eastAsia="Times New Roman"/>
          <w:color w:val="000000"/>
          <w:sz w:val="21"/>
          <w:szCs w:val="21"/>
          <w:lang w:eastAsia="en-US"/>
        </w:rPr>
      </w:r>
      <w:r/>
    </w:p>
    <w:p>
      <w:pPr>
        <w:jc w:val="both"/>
        <w:spacing w:lineRule="exact" w:line="400" w:after="156"/>
        <w:rPr>
          <w:rFonts w:ascii="Times New Roman" w:hAnsi="Times New Roman" w:cs="Times New Roman"/>
          <w:b/>
          <w:bCs/>
          <w:sz w:val="21"/>
          <w:szCs w:val="21"/>
        </w:rPr>
      </w:pPr>
      <w:r>
        <w:rPr>
          <w:rFonts w:ascii="Times New Roman" w:hAnsi="Times New Roman" w:cs="Times New Roman"/>
          <w:b/>
          <w:bCs/>
          <w:sz w:val="21"/>
          <w:szCs w:val="21"/>
        </w:rPr>
        <w:t xml:space="preserve">Abstract</w:t>
      </w:r>
      <w:r>
        <w:rPr>
          <w:rFonts w:ascii="Times New Roman" w:hAnsi="Times New Roman" w:cs="Times New Roman"/>
          <w:b/>
          <w:bCs/>
          <w:sz w:val="21"/>
          <w:szCs w:val="21"/>
        </w:rPr>
        <w:t xml:space="preserve">:</w:t>
      </w:r>
      <w:r>
        <w:rPr>
          <w:rFonts w:ascii="Times New Roman" w:hAnsi="Times New Roman" w:cs="Times New Roman" w:hint="eastAsia"/>
          <w:b/>
          <w:bCs/>
          <w:sz w:val="21"/>
          <w:szCs w:val="21"/>
        </w:rPr>
        <w:t xml:space="preserve"> T</w:t>
      </w:r>
      <w:r>
        <w:rPr>
          <w:rFonts w:ascii="Times New Roman" w:hAnsi="Times New Roman" w:cs="Times New Roman"/>
          <w:b/>
          <w:bCs/>
          <w:sz w:val="21"/>
          <w:szCs w:val="21"/>
        </w:rPr>
        <w:t xml:space="preserve">he capture and conversion of solar energy are recogni</w:t>
      </w:r>
      <w:r>
        <w:rPr>
          <w:rFonts w:ascii="Times New Roman" w:hAnsi="Times New Roman" w:cs="Times New Roman"/>
          <w:b/>
          <w:bCs/>
          <w:sz w:val="21"/>
          <w:szCs w:val="21"/>
        </w:rPr>
        <w:t xml:space="preserve">s</w:t>
      </w:r>
      <w:r>
        <w:rPr>
          <w:rFonts w:ascii="Times New Roman" w:hAnsi="Times New Roman" w:cs="Times New Roman"/>
          <w:b/>
          <w:bCs/>
          <w:sz w:val="21"/>
          <w:szCs w:val="21"/>
        </w:rPr>
        <w:t xml:space="preserve">ed as</w:t>
      </w:r>
      <w:r>
        <w:rPr>
          <w:rFonts w:ascii="Times New Roman" w:hAnsi="Times New Roman" w:cs="Times New Roman"/>
          <w:b/>
          <w:bCs/>
          <w:sz w:val="21"/>
          <w:szCs w:val="21"/>
        </w:rPr>
        <w:t xml:space="preserve"> a</w:t>
      </w:r>
      <w:r>
        <w:rPr>
          <w:rFonts w:ascii="Times New Roman" w:hAnsi="Times New Roman" w:cs="Times New Roman"/>
          <w:b/>
          <w:bCs/>
          <w:sz w:val="21"/>
          <w:szCs w:val="21"/>
        </w:rPr>
        <w:t xml:space="preserve"> promising strategy to </w:t>
      </w:r>
      <w:r>
        <w:rPr>
          <w:rFonts w:ascii="Times New Roman" w:hAnsi="Times New Roman" w:cs="Times New Roman"/>
          <w:b/>
          <w:bCs/>
          <w:sz w:val="21"/>
          <w:szCs w:val="21"/>
        </w:rPr>
        <w:t xml:space="preserve">overcome</w:t>
      </w:r>
      <w:r>
        <w:rPr>
          <w:rFonts w:ascii="Times New Roman" w:hAnsi="Times New Roman" w:cs="Times New Roman" w:hint="eastAsia"/>
          <w:b/>
          <w:bCs/>
          <w:sz w:val="21"/>
          <w:szCs w:val="21"/>
        </w:rPr>
        <w:t xml:space="preserve"> </w:t>
      </w:r>
      <w:r>
        <w:rPr>
          <w:rFonts w:ascii="Times New Roman" w:hAnsi="Times New Roman" w:cs="Times New Roman"/>
          <w:b/>
          <w:bCs/>
          <w:sz w:val="21"/>
          <w:szCs w:val="21"/>
        </w:rPr>
        <w:t xml:space="preserve">energy crisis and </w:t>
      </w:r>
      <w:r>
        <w:rPr>
          <w:rFonts w:ascii="Times New Roman" w:hAnsi="Times New Roman" w:cs="Times New Roman"/>
          <w:b/>
          <w:bCs/>
          <w:sz w:val="21"/>
          <w:szCs w:val="21"/>
        </w:rPr>
        <w:t xml:space="preserve">mitigate </w:t>
      </w:r>
      <w:r>
        <w:rPr>
          <w:rFonts w:ascii="Times New Roman" w:hAnsi="Times New Roman" w:cs="Times New Roman"/>
          <w:b/>
          <w:bCs/>
          <w:sz w:val="21"/>
          <w:szCs w:val="21"/>
        </w:rPr>
        <w:t xml:space="preserve">related environmental issues.</w:t>
      </w:r>
      <w:r>
        <w:rPr>
          <w:rFonts w:ascii="Times New Roman" w:hAnsi="Times New Roman" w:cs="Times New Roman"/>
          <w:b/>
          <w:bCs/>
          <w:sz w:val="21"/>
          <w:szCs w:val="21"/>
        </w:rPr>
        <w:t xml:space="preserve"> Therefore, photocatalytic overall water splitting</w:t>
      </w:r>
      <w:r>
        <w:rPr>
          <w:rFonts w:ascii="Times New Roman" w:hAnsi="Times New Roman" w:cs="Times New Roman"/>
          <w:b/>
          <w:bCs/>
          <w:sz w:val="21"/>
          <w:szCs w:val="21"/>
        </w:rPr>
        <w:t xml:space="preserve"> (POWS)</w:t>
      </w:r>
      <w:r>
        <w:rPr>
          <w:rFonts w:ascii="Times New Roman" w:hAnsi="Times New Roman" w:cs="Times New Roman"/>
          <w:b/>
          <w:bCs/>
          <w:sz w:val="21"/>
          <w:szCs w:val="21"/>
        </w:rPr>
        <w:t xml:space="preserve"> reaction </w:t>
      </w:r>
      <w:r>
        <w:rPr>
          <w:rFonts w:ascii="Times New Roman" w:hAnsi="Times New Roman" w:cs="Times New Roman"/>
          <w:b/>
          <w:bCs/>
          <w:sz w:val="21"/>
          <w:szCs w:val="21"/>
        </w:rPr>
        <w:t xml:space="preserve">for </w:t>
      </w:r>
      <w:r>
        <w:rPr>
          <w:rFonts w:ascii="Times New Roman" w:hAnsi="Times New Roman" w:cs="Times New Roman"/>
          <w:b/>
          <w:bCs/>
          <w:sz w:val="21"/>
          <w:szCs w:val="21"/>
        </w:rPr>
        <w:t xml:space="preserve">hydrogen</w:t>
      </w:r>
      <w:r>
        <w:rPr>
          <w:rFonts w:ascii="Times New Roman" w:hAnsi="Times New Roman" w:cs="Times New Roman"/>
          <w:b/>
          <w:bCs/>
          <w:sz w:val="21"/>
          <w:szCs w:val="21"/>
        </w:rPr>
        <w:t xml:space="preserve"> evolution</w:t>
      </w:r>
      <w:r>
        <w:rPr>
          <w:rFonts w:ascii="Times New Roman" w:hAnsi="Times New Roman" w:cs="Times New Roman"/>
          <w:b/>
          <w:bCs/>
          <w:sz w:val="21"/>
          <w:szCs w:val="21"/>
        </w:rPr>
        <w:t xml:space="preserve"> </w:t>
      </w:r>
      <w:r>
        <w:rPr>
          <w:rFonts w:ascii="Times New Roman" w:hAnsi="Times New Roman" w:cs="Times New Roman"/>
          <w:b/>
          <w:bCs/>
          <w:sz w:val="21"/>
          <w:szCs w:val="21"/>
        </w:rPr>
        <w:t xml:space="preserve">becomes increasing</w:t>
      </w:r>
      <w:r>
        <w:rPr>
          <w:rFonts w:ascii="Times New Roman" w:hAnsi="Times New Roman" w:cs="Times New Roman"/>
          <w:b/>
          <w:bCs/>
          <w:sz w:val="21"/>
          <w:szCs w:val="21"/>
        </w:rPr>
        <w:t xml:space="preserve">ly attractive</w:t>
      </w:r>
      <w:r>
        <w:rPr>
          <w:rFonts w:ascii="Times New Roman" w:hAnsi="Times New Roman" w:cs="Times New Roman"/>
          <w:b/>
          <w:bCs/>
          <w:sz w:val="21"/>
          <w:szCs w:val="21"/>
        </w:rPr>
        <w:t xml:space="preserve">. Various </w:t>
      </w:r>
      <w:r>
        <w:rPr>
          <w:rFonts w:ascii="Times New Roman" w:hAnsi="Times New Roman" w:cs="Times New Roman"/>
          <w:b/>
          <w:bCs/>
          <w:sz w:val="21"/>
          <w:szCs w:val="21"/>
        </w:rPr>
        <w:t xml:space="preserve">systems </w:t>
      </w:r>
      <w:r>
        <w:rPr>
          <w:rFonts w:ascii="Times New Roman" w:hAnsi="Times New Roman" w:cs="Times New Roman"/>
          <w:b/>
          <w:bCs/>
          <w:sz w:val="21"/>
          <w:szCs w:val="21"/>
        </w:rPr>
        <w:t xml:space="preserve">for this reaction </w:t>
      </w:r>
      <w:r>
        <w:rPr>
          <w:rFonts w:ascii="Times New Roman" w:hAnsi="Times New Roman" w:cs="Times New Roman"/>
          <w:b/>
          <w:bCs/>
          <w:sz w:val="21"/>
          <w:szCs w:val="21"/>
        </w:rPr>
        <w:t xml:space="preserve">have been developed over the last </w:t>
      </w:r>
      <w:r>
        <w:rPr>
          <w:rFonts w:ascii="Times New Roman" w:hAnsi="Times New Roman" w:cs="Times New Roman"/>
          <w:b/>
          <w:bCs/>
          <w:sz w:val="21"/>
          <w:szCs w:val="21"/>
        </w:rPr>
        <w:t xml:space="preserve">decades</w:t>
      </w:r>
      <w:r>
        <w:rPr>
          <w:rFonts w:ascii="Times New Roman" w:hAnsi="Times New Roman" w:cs="Times New Roman"/>
          <w:b/>
          <w:bCs/>
          <w:sz w:val="21"/>
          <w:szCs w:val="21"/>
        </w:rPr>
        <w:t xml:space="preserve">,</w:t>
      </w:r>
      <w:r>
        <w:rPr>
          <w:rFonts w:ascii="Times New Roman" w:hAnsi="Times New Roman" w:cs="Times New Roman"/>
          <w:b/>
          <w:bCs/>
          <w:sz w:val="21"/>
          <w:szCs w:val="21"/>
        </w:rPr>
        <w:t xml:space="preserve"> w</w:t>
      </w:r>
      <w:r>
        <w:rPr>
          <w:rFonts w:ascii="Times New Roman" w:hAnsi="Times New Roman" w:cs="Times New Roman"/>
          <w:b/>
          <w:bCs/>
          <w:sz w:val="21"/>
          <w:szCs w:val="21"/>
        </w:rPr>
        <w:t xml:space="preserve">hereas their </w:t>
      </w:r>
      <w:r>
        <w:rPr>
          <w:rFonts w:ascii="Times New Roman" w:hAnsi="Times New Roman" w:cs="Times New Roman"/>
          <w:b/>
          <w:bCs/>
          <w:sz w:val="21"/>
          <w:szCs w:val="21"/>
        </w:rPr>
        <w:t xml:space="preserve">pe</w:t>
      </w:r>
      <w:r>
        <w:rPr>
          <w:rFonts w:ascii="Times New Roman" w:hAnsi="Times New Roman" w:cs="Times New Roman"/>
          <w:b/>
          <w:bCs/>
          <w:sz w:val="21"/>
          <w:szCs w:val="21"/>
        </w:rPr>
        <w:t xml:space="preserve">rformance</w:t>
      </w:r>
      <w:r>
        <w:rPr>
          <w:rFonts w:ascii="Times New Roman" w:hAnsi="Times New Roman" w:cs="Times New Roman"/>
          <w:b/>
          <w:bCs/>
          <w:sz w:val="21"/>
          <w:szCs w:val="21"/>
        </w:rPr>
        <w:t xml:space="preserve">s remain</w:t>
      </w:r>
      <w:r>
        <w:rPr>
          <w:rFonts w:ascii="Times New Roman" w:hAnsi="Times New Roman" w:cs="Times New Roman"/>
          <w:b/>
          <w:bCs/>
          <w:sz w:val="21"/>
          <w:szCs w:val="21"/>
        </w:rPr>
        <w:t xml:space="preserve"> unsatisfactory </w:t>
      </w:r>
      <w:r>
        <w:rPr>
          <w:rFonts w:ascii="Times New Roman" w:hAnsi="Times New Roman" w:cs="Times New Roman"/>
          <w:b/>
          <w:bCs/>
          <w:sz w:val="21"/>
          <w:szCs w:val="21"/>
        </w:rPr>
        <w:t xml:space="preserve">due t</w:t>
      </w:r>
      <w:r>
        <w:rPr>
          <w:rFonts w:ascii="Times New Roman" w:hAnsi="Times New Roman" w:cs="Times New Roman"/>
          <w:b/>
          <w:bCs/>
          <w:sz w:val="21"/>
          <w:szCs w:val="21"/>
        </w:rPr>
        <w:t xml:space="preserve">o </w:t>
      </w:r>
      <w:r>
        <w:rPr>
          <w:rFonts w:ascii="Times New Roman" w:hAnsi="Times New Roman" w:cs="Times New Roman"/>
          <w:b/>
          <w:bCs/>
          <w:sz w:val="21"/>
          <w:szCs w:val="21"/>
        </w:rPr>
        <w:t xml:space="preserve">the </w:t>
      </w:r>
      <w:r>
        <w:rPr>
          <w:rFonts w:ascii="Times New Roman" w:hAnsi="Times New Roman" w:cs="Times New Roman"/>
          <w:b/>
          <w:bCs/>
          <w:sz w:val="21"/>
          <w:szCs w:val="21"/>
        </w:rPr>
        <w:t xml:space="preserve">slow </w:t>
      </w:r>
      <w:r>
        <w:rPr>
          <w:rFonts w:ascii="Times New Roman" w:hAnsi="Times New Roman" w:cs="Times New Roman"/>
          <w:b/>
          <w:bCs/>
          <w:sz w:val="21"/>
          <w:szCs w:val="21"/>
        </w:rPr>
        <w:t xml:space="preserve">generation </w:t>
      </w:r>
      <w:r>
        <w:rPr>
          <w:rFonts w:ascii="Times New Roman" w:hAnsi="Times New Roman" w:cs="Times New Roman"/>
          <w:b/>
          <w:bCs/>
          <w:sz w:val="21"/>
          <w:szCs w:val="21"/>
        </w:rPr>
        <w:t xml:space="preserve">but </w:t>
      </w:r>
      <w:r>
        <w:rPr>
          <w:rFonts w:ascii="Times New Roman" w:hAnsi="Times New Roman" w:cs="Times New Roman"/>
          <w:b/>
          <w:bCs/>
          <w:sz w:val="21"/>
          <w:szCs w:val="21"/>
        </w:rPr>
        <w:t xml:space="preserve">fast </w:t>
      </w:r>
      <w:r>
        <w:rPr>
          <w:rFonts w:ascii="Times New Roman" w:hAnsi="Times New Roman" w:cs="Times New Roman"/>
          <w:b/>
          <w:bCs/>
          <w:sz w:val="21"/>
          <w:szCs w:val="21"/>
        </w:rPr>
        <w:t xml:space="preserve">recombination of </w:t>
      </w:r>
      <w:r>
        <w:rPr>
          <w:rFonts w:ascii="Times New Roman" w:hAnsi="Times New Roman" w:cs="Times New Roman"/>
          <w:b/>
          <w:bCs/>
          <w:sz w:val="21"/>
          <w:szCs w:val="21"/>
        </w:rPr>
        <w:t xml:space="preserve">charge carriers during </w:t>
      </w:r>
      <w:r>
        <w:rPr>
          <w:rFonts w:ascii="Times New Roman" w:hAnsi="Times New Roman" w:cs="Times New Roman" w:hint="eastAsia"/>
          <w:b/>
          <w:bCs/>
          <w:sz w:val="21"/>
          <w:szCs w:val="21"/>
        </w:rPr>
        <w:t xml:space="preserve">the </w:t>
      </w:r>
      <w:r>
        <w:rPr>
          <w:rFonts w:ascii="Times New Roman" w:hAnsi="Times New Roman" w:cs="Times New Roman"/>
          <w:b/>
          <w:bCs/>
          <w:sz w:val="21"/>
          <w:szCs w:val="21"/>
        </w:rPr>
        <w:t xml:space="preserve">photocatalytic process. </w:t>
      </w:r>
      <w:r>
        <w:rPr>
          <w:rFonts w:ascii="Times New Roman" w:hAnsi="Times New Roman" w:cs="Times New Roman"/>
          <w:b/>
          <w:bCs/>
          <w:sz w:val="21"/>
          <w:szCs w:val="21"/>
        </w:rPr>
        <w:t xml:space="preserve">Herein, we report</w:t>
      </w:r>
      <w:r>
        <w:rPr>
          <w:rFonts w:ascii="Times New Roman" w:hAnsi="Times New Roman" w:cs="Times New Roman"/>
          <w:b/>
          <w:bCs/>
          <w:sz w:val="21"/>
          <w:szCs w:val="21"/>
        </w:rPr>
        <w:t xml:space="preserve"> </w:t>
      </w:r>
      <w:r>
        <w:rPr>
          <w:rFonts w:ascii="Times New Roman" w:hAnsi="Times New Roman" w:cs="Times New Roman"/>
          <w:b/>
          <w:bCs/>
          <w:sz w:val="21"/>
          <w:szCs w:val="21"/>
        </w:rPr>
        <w:t xml:space="preserve">a </w:t>
      </w:r>
      <w:r>
        <w:rPr>
          <w:rFonts w:ascii="Times New Roman" w:hAnsi="Times New Roman" w:cs="Times New Roman"/>
          <w:b/>
          <w:bCs/>
          <w:sz w:val="21"/>
          <w:szCs w:val="21"/>
        </w:rPr>
        <w:t xml:space="preserve">dramatically improved</w:t>
      </w:r>
      <w:r>
        <w:rPr>
          <w:rFonts w:ascii="Times New Roman" w:hAnsi="Times New Roman" w:cs="Times New Roman"/>
          <w:b/>
          <w:bCs/>
          <w:sz w:val="21"/>
          <w:szCs w:val="21"/>
        </w:rPr>
        <w:t xml:space="preserve"> </w:t>
      </w:r>
      <w:r>
        <w:rPr>
          <w:rFonts w:ascii="Times New Roman" w:hAnsi="Times New Roman" w:cs="Times New Roman"/>
          <w:b/>
          <w:bCs/>
          <w:sz w:val="21"/>
          <w:szCs w:val="21"/>
        </w:rPr>
        <w:t xml:space="preserve">H</w:t>
      </w:r>
      <w:r>
        <w:rPr>
          <w:rFonts w:ascii="Times New Roman" w:hAnsi="Times New Roman" w:cs="Times New Roman"/>
          <w:b/>
          <w:bCs/>
          <w:sz w:val="21"/>
          <w:szCs w:val="21"/>
          <w:vertAlign w:val="subscript"/>
        </w:rPr>
        <w:t xml:space="preserve">2</w:t>
      </w:r>
      <w:r>
        <w:rPr>
          <w:rFonts w:ascii="Times New Roman" w:hAnsi="Times New Roman" w:cs="Times New Roman"/>
          <w:b/>
          <w:bCs/>
          <w:sz w:val="21"/>
          <w:szCs w:val="21"/>
        </w:rPr>
        <w:t xml:space="preserve"> production </w:t>
      </w:r>
      <w:r>
        <w:rPr>
          <w:rFonts w:ascii="Times New Roman" w:hAnsi="Times New Roman" w:cs="Times New Roman"/>
          <w:b/>
          <w:bCs/>
          <w:sz w:val="21"/>
          <w:szCs w:val="21"/>
        </w:rPr>
        <w:t xml:space="preserve">activity </w:t>
      </w:r>
      <w:r>
        <w:rPr>
          <w:rFonts w:ascii="Times New Roman" w:hAnsi="Times New Roman" w:cs="Times New Roman"/>
          <w:b/>
          <w:bCs/>
          <w:sz w:val="21"/>
          <w:szCs w:val="21"/>
        </w:rPr>
        <w:t xml:space="preserve">of </w:t>
      </w:r>
      <w:r>
        <w:rPr>
          <w:rFonts w:ascii="Times New Roman" w:hAnsi="Times New Roman" w:cs="Times New Roman"/>
          <w:b/>
          <w:bCs/>
          <w:sz w:val="21"/>
          <w:szCs w:val="21"/>
        </w:rPr>
        <w:t xml:space="preserve">a </w:t>
      </w:r>
      <w:r>
        <w:rPr>
          <w:rFonts w:ascii="Times New Roman" w:hAnsi="Times New Roman" w:cs="Times New Roman"/>
          <w:b/>
          <w:bCs/>
          <w:sz w:val="21"/>
          <w:szCs w:val="21"/>
        </w:rPr>
        <w:t xml:space="preserve">N-</w:t>
      </w:r>
      <w:r>
        <w:rPr>
          <w:rFonts w:ascii="Times New Roman" w:hAnsi="Times New Roman" w:cs="Times New Roman"/>
          <w:b/>
          <w:bCs/>
          <w:sz w:val="21"/>
          <w:szCs w:val="21"/>
        </w:rPr>
        <w:t xml:space="preserve">doped TiO</w:t>
      </w:r>
      <w:r>
        <w:rPr>
          <w:rFonts w:ascii="Times New Roman" w:hAnsi="Times New Roman" w:cs="Times New Roman"/>
          <w:b/>
          <w:bCs/>
          <w:sz w:val="21"/>
          <w:szCs w:val="21"/>
          <w:vertAlign w:val="subscript"/>
        </w:rPr>
        <w:t xml:space="preserve">2</w:t>
      </w:r>
      <w:r>
        <w:rPr>
          <w:rFonts w:ascii="Times New Roman" w:hAnsi="Times New Roman" w:cs="Times New Roman" w:hint="eastAsia"/>
          <w:b/>
          <w:bCs/>
          <w:sz w:val="21"/>
          <w:szCs w:val="21"/>
        </w:rPr>
        <w:t xml:space="preserve"> </w:t>
      </w:r>
      <w:r>
        <w:rPr>
          <w:rFonts w:ascii="Times New Roman" w:hAnsi="Times New Roman" w:cs="Times New Roman"/>
          <w:b/>
          <w:bCs/>
          <w:sz w:val="21"/>
          <w:szCs w:val="21"/>
        </w:rPr>
        <w:t xml:space="preserve">based </w:t>
      </w:r>
      <w:r>
        <w:rPr>
          <w:rFonts w:ascii="Times New Roman" w:hAnsi="Times New Roman" w:cs="Times New Roman"/>
          <w:b/>
          <w:bCs/>
          <w:sz w:val="21"/>
          <w:szCs w:val="21"/>
        </w:rPr>
        <w:t xml:space="preserve">photocatalyst </w:t>
      </w:r>
      <w:r>
        <w:rPr>
          <w:rFonts w:ascii="Times New Roman" w:hAnsi="Times New Roman" w:cs="Times New Roman" w:hint="eastAsia"/>
          <w:b/>
          <w:bCs/>
          <w:sz w:val="21"/>
          <w:szCs w:val="21"/>
        </w:rPr>
        <w:t xml:space="preserve">via the introduction of</w:t>
      </w:r>
      <w:r>
        <w:rPr>
          <w:rFonts w:ascii="Times New Roman" w:hAnsi="Times New Roman" w:cs="Times New Roman"/>
          <w:b/>
          <w:bCs/>
          <w:sz w:val="21"/>
          <w:szCs w:val="21"/>
        </w:rPr>
        <w:t xml:space="preserve"> </w:t>
      </w:r>
      <w:r>
        <w:rPr>
          <w:rFonts w:ascii="Times New Roman" w:hAnsi="Times New Roman" w:cs="Times New Roman"/>
          <w:b/>
          <w:bCs/>
          <w:sz w:val="21"/>
          <w:szCs w:val="21"/>
        </w:rPr>
        <w:t xml:space="preserve">local </w:t>
      </w:r>
      <w:r>
        <w:rPr>
          <w:rFonts w:ascii="Times New Roman" w:hAnsi="Times New Roman" w:cs="Times New Roman"/>
          <w:b/>
          <w:bCs/>
          <w:sz w:val="21"/>
          <w:szCs w:val="21"/>
        </w:rPr>
        <w:t xml:space="preserve">magnetic field by </w:t>
      </w:r>
      <w:r>
        <w:rPr>
          <w:rFonts w:ascii="Times New Roman" w:hAnsi="Times New Roman" w:cs="Times New Roman"/>
          <w:b/>
          <w:bCs/>
          <w:sz w:val="21"/>
          <w:szCs w:val="21"/>
        </w:rPr>
        <w:t xml:space="preserve">mixing </w:t>
      </w:r>
      <w:r>
        <w:rPr>
          <w:rFonts w:ascii="Times New Roman" w:hAnsi="Times New Roman" w:cs="Times New Roman"/>
          <w:b/>
          <w:bCs/>
          <w:sz w:val="21"/>
          <w:szCs w:val="21"/>
        </w:rPr>
        <w:t xml:space="preserve">the catalyst in close proximity to </w:t>
      </w:r>
      <w:r>
        <w:rPr>
          <w:rFonts w:ascii="Times New Roman" w:hAnsi="Times New Roman" w:cs="Times New Roman"/>
          <w:b/>
          <w:bCs/>
          <w:sz w:val="21"/>
          <w:szCs w:val="21"/>
        </w:rPr>
        <w:t xml:space="preserve">superparamagnetic</w:t>
      </w:r>
      <w:r>
        <w:rPr>
          <w:rFonts w:ascii="Times New Roman" w:hAnsi="Times New Roman" w:cs="Times New Roman"/>
          <w:b/>
          <w:bCs/>
          <w:sz w:val="21"/>
          <w:szCs w:val="21"/>
        </w:rPr>
        <w:t xml:space="preserve"> nanoparticles under </w:t>
      </w:r>
      <w:r>
        <w:rPr>
          <w:rFonts w:ascii="Times New Roman" w:hAnsi="Times New Roman" w:cs="Times New Roman"/>
          <w:b/>
          <w:bCs/>
          <w:sz w:val="21"/>
          <w:szCs w:val="21"/>
        </w:rPr>
        <w:t xml:space="preserve">external magnetic </w:t>
      </w:r>
      <w:r>
        <w:rPr>
          <w:rFonts w:ascii="Times New Roman" w:hAnsi="Times New Roman" w:cs="Times New Roman"/>
          <w:b/>
          <w:bCs/>
          <w:sz w:val="21"/>
          <w:szCs w:val="21"/>
        </w:rPr>
        <w:t xml:space="preserve">field</w:t>
      </w:r>
      <w:r>
        <w:rPr>
          <w:rFonts w:ascii="Times New Roman" w:hAnsi="Times New Roman" w:cs="Times New Roman"/>
          <w:b/>
          <w:bCs/>
          <w:sz w:val="21"/>
          <w:szCs w:val="21"/>
        </w:rPr>
        <w:t xml:space="preserve">.</w:t>
      </w:r>
      <w:r>
        <w:rPr>
          <w:rFonts w:ascii="Times New Roman" w:hAnsi="Times New Roman" w:cs="Times New Roman"/>
          <w:b/>
          <w:bCs/>
          <w:sz w:val="21"/>
          <w:szCs w:val="21"/>
        </w:rPr>
        <w:t xml:space="preserve"> Extraordinary hydrogen evolution rate of </w:t>
      </w:r>
      <w:r>
        <w:rPr>
          <w:rFonts w:ascii="Times New Roman" w:hAnsi="Times New Roman" w:cs="Times New Roman"/>
          <w:b/>
          <w:bCs/>
          <w:sz w:val="21"/>
          <w:szCs w:val="21"/>
        </w:rPr>
        <w:t xml:space="preserve">20</w:t>
      </w:r>
      <w:r>
        <w:rPr>
          <w:rFonts w:ascii="Times New Roman" w:hAnsi="Times New Roman" w:cs="Times New Roman"/>
          <w:b/>
          <w:bCs/>
          <w:sz w:val="21"/>
          <w:szCs w:val="21"/>
        </w:rPr>
        <w:t xml:space="preserve">.6</w:t>
      </w:r>
      <w:r>
        <w:rPr>
          <w:rFonts w:ascii="Times New Roman" w:hAnsi="Times New Roman" w:cs="Times New Roman" w:hint="eastAsia"/>
          <w:b/>
          <w:bCs/>
          <w:sz w:val="21"/>
          <w:szCs w:val="21"/>
        </w:rPr>
        <w:t xml:space="preserve"> </w:t>
      </w:r>
      <w:r>
        <w:rPr>
          <w:rFonts w:ascii="Times New Roman" w:hAnsi="Times New Roman" w:cs="Times New Roman"/>
          <w:b/>
          <w:bCs/>
          <w:sz w:val="21"/>
          <w:szCs w:val="21"/>
        </w:rPr>
        <w:t xml:space="preserve">m</w:t>
      </w:r>
      <w:r>
        <w:rPr>
          <w:rFonts w:ascii="Times New Roman" w:hAnsi="Times New Roman" w:cs="Times New Roman"/>
          <w:b/>
          <w:bCs/>
          <w:sz w:val="21"/>
          <w:szCs w:val="21"/>
        </w:rPr>
        <w:t xml:space="preserve">mol g</w:t>
      </w:r>
      <w:r>
        <w:rPr>
          <w:rFonts w:ascii="Times New Roman" w:hAnsi="Times New Roman" w:cs="Times New Roman"/>
          <w:b/>
          <w:bCs/>
          <w:sz w:val="21"/>
          <w:szCs w:val="21"/>
          <w:vertAlign w:val="superscript"/>
        </w:rPr>
        <w:t xml:space="preserve">-1</w:t>
      </w:r>
      <w:r>
        <w:rPr>
          <w:rFonts w:ascii="Times New Roman" w:hAnsi="Times New Roman" w:cs="Times New Roman"/>
          <w:b/>
          <w:bCs/>
          <w:sz w:val="21"/>
          <w:szCs w:val="21"/>
        </w:rPr>
        <w:t xml:space="preserve"> h</w:t>
      </w:r>
      <w:r>
        <w:rPr>
          <w:rFonts w:ascii="Times New Roman" w:hAnsi="Times New Roman" w:cs="Times New Roman"/>
          <w:b/>
          <w:bCs/>
          <w:sz w:val="21"/>
          <w:szCs w:val="21"/>
          <w:vertAlign w:val="superscript"/>
        </w:rPr>
        <w:t xml:space="preserve">-1</w:t>
      </w:r>
      <w:r>
        <w:rPr>
          <w:rFonts w:ascii="Times New Roman" w:hAnsi="Times New Roman" w:cs="Times New Roman" w:hint="eastAsia"/>
          <w:b/>
          <w:bCs/>
          <w:sz w:val="21"/>
          <w:szCs w:val="21"/>
        </w:rPr>
        <w:t xml:space="preserve"> </w:t>
      </w:r>
      <w:r>
        <w:rPr>
          <w:rFonts w:ascii="Times New Roman" w:hAnsi="Times New Roman" w:cs="Times New Roman"/>
          <w:b/>
          <w:bCs/>
          <w:sz w:val="21"/>
          <w:szCs w:val="21"/>
        </w:rPr>
        <w:t xml:space="preserve">and quantum efficiency</w:t>
      </w:r>
      <w:r>
        <w:rPr>
          <w:rFonts w:ascii="Times New Roman" w:hAnsi="Times New Roman" w:cs="Times New Roman"/>
          <w:b/>
          <w:bCs/>
          <w:sz w:val="21"/>
          <w:szCs w:val="21"/>
        </w:rPr>
        <w:t xml:space="preserve"> (QE)</w:t>
      </w:r>
      <w:r>
        <w:rPr>
          <w:rFonts w:ascii="Times New Roman" w:hAnsi="Times New Roman" w:cs="Times New Roman"/>
          <w:b/>
          <w:bCs/>
          <w:sz w:val="21"/>
          <w:szCs w:val="21"/>
        </w:rPr>
        <w:t xml:space="preserve"> of </w:t>
      </w:r>
      <w:r>
        <w:rPr>
          <w:rFonts w:ascii="Times New Roman" w:hAnsi="Times New Roman" w:cs="Times New Roman"/>
          <w:b/>
          <w:bCs/>
          <w:sz w:val="21"/>
          <w:szCs w:val="21"/>
        </w:rPr>
        <w:t xml:space="preserve">90.3</w:t>
      </w:r>
      <w:r>
        <w:rPr>
          <w:rFonts w:ascii="Times New Roman" w:hAnsi="Times New Roman" w:cs="Times New Roman"/>
          <w:b/>
          <w:bCs/>
          <w:sz w:val="21"/>
          <w:szCs w:val="21"/>
        </w:rPr>
        <w:t xml:space="preserve">% in visible light regime (</w:t>
      </w:r>
      <w:r>
        <w:rPr>
          <w:rFonts w:ascii="Times New Roman" w:hAnsi="Times New Roman" w:cs="Times New Roman"/>
          <w:b/>
          <w:bCs/>
          <w:sz w:val="21"/>
          <w:szCs w:val="21"/>
        </w:rPr>
        <w:t xml:space="preserve">437 nm</w:t>
      </w:r>
      <w:r>
        <w:rPr>
          <w:rFonts w:ascii="Times New Roman" w:hAnsi="Times New Roman" w:cs="Times New Roman"/>
          <w:b/>
          <w:bCs/>
          <w:sz w:val="21"/>
          <w:szCs w:val="21"/>
        </w:rPr>
        <w:t xml:space="preserve">)</w:t>
      </w:r>
      <w:r>
        <w:rPr>
          <w:rFonts w:ascii="Times New Roman" w:hAnsi="Times New Roman" w:cs="Times New Roman"/>
          <w:b/>
          <w:bCs/>
          <w:sz w:val="21"/>
          <w:szCs w:val="21"/>
        </w:rPr>
        <w:t xml:space="preserve"> are</w:t>
      </w:r>
      <w:r>
        <w:rPr>
          <w:rFonts w:ascii="Times New Roman" w:hAnsi="Times New Roman" w:cs="Times New Roman" w:hint="eastAsia"/>
          <w:b/>
          <w:bCs/>
          <w:sz w:val="21"/>
          <w:szCs w:val="21"/>
        </w:rPr>
        <w:t xml:space="preserve"> </w:t>
      </w:r>
      <w:r>
        <w:rPr>
          <w:rFonts w:ascii="Times New Roman" w:hAnsi="Times New Roman" w:cs="Times New Roman"/>
          <w:b/>
          <w:bCs/>
          <w:sz w:val="21"/>
          <w:szCs w:val="21"/>
        </w:rPr>
        <w:t xml:space="preserve">obtained </w:t>
      </w:r>
      <w:r>
        <w:rPr>
          <w:rFonts w:ascii="Times New Roman" w:hAnsi="Times New Roman" w:cs="Times New Roman"/>
          <w:b/>
          <w:bCs/>
          <w:sz w:val="21"/>
          <w:szCs w:val="21"/>
        </w:rPr>
        <w:t xml:space="preserve">at elevated temperature </w:t>
      </w:r>
      <w:r>
        <w:rPr>
          <w:rFonts w:ascii="Times New Roman" w:hAnsi="Times New Roman" w:cs="Times New Roman"/>
          <w:b/>
          <w:bCs/>
          <w:sz w:val="21"/>
          <w:szCs w:val="21"/>
        </w:rPr>
        <w:t xml:space="preserve">without using any sacrificial reagent due to the </w:t>
      </w:r>
      <w:r>
        <w:rPr>
          <w:rFonts w:ascii="Times New Roman" w:hAnsi="Times New Roman" w:cs="Times New Roman"/>
          <w:b/>
          <w:bCs/>
          <w:sz w:val="21"/>
          <w:szCs w:val="21"/>
        </w:rPr>
        <w:t xml:space="preserve">rapid generation of </w:t>
      </w:r>
      <w:r>
        <w:rPr>
          <w:rFonts w:ascii="Times New Roman" w:hAnsi="Times New Roman" w:cs="Times New Roman"/>
          <w:b/>
          <w:bCs/>
          <w:sz w:val="21"/>
          <w:szCs w:val="21"/>
        </w:rPr>
        <w:t xml:space="preserve">the charge carriers </w:t>
      </w:r>
      <w:r>
        <w:rPr>
          <w:rFonts w:ascii="Times New Roman" w:hAnsi="Times New Roman" w:cs="Times New Roman"/>
          <w:b/>
          <w:bCs/>
          <w:sz w:val="21"/>
          <w:szCs w:val="21"/>
        </w:rPr>
        <w:t xml:space="preserve">with </w:t>
      </w:r>
      <w:r>
        <w:rPr>
          <w:rFonts w:ascii="Times New Roman" w:hAnsi="Times New Roman" w:cs="Times New Roman"/>
          <w:b/>
          <w:bCs/>
          <w:sz w:val="21"/>
          <w:szCs w:val="21"/>
        </w:rPr>
        <w:t xml:space="preserve">their </w:t>
      </w:r>
      <w:r>
        <w:rPr>
          <w:rFonts w:ascii="Times New Roman" w:hAnsi="Times New Roman" w:cs="Times New Roman"/>
          <w:b/>
          <w:bCs/>
          <w:sz w:val="21"/>
          <w:szCs w:val="21"/>
        </w:rPr>
        <w:t xml:space="preserve">prolonged lifetime </w:t>
      </w:r>
      <w:r>
        <w:rPr>
          <w:rFonts w:ascii="Times New Roman" w:hAnsi="Times New Roman" w:cs="Times New Roman"/>
          <w:b/>
          <w:bCs/>
          <w:sz w:val="21"/>
          <w:szCs w:val="21"/>
        </w:rPr>
        <w:t xml:space="preserve">in this material under the strong local magnetic flux</w:t>
      </w:r>
      <w:r>
        <w:rPr>
          <w:rFonts w:ascii="Times New Roman" w:hAnsi="Times New Roman" w:cs="Times New Roman"/>
          <w:b/>
          <w:bCs/>
          <w:sz w:val="21"/>
          <w:szCs w:val="21"/>
        </w:rPr>
        <w:t xml:space="preserve">. </w:t>
      </w:r>
      <w:r>
        <w:rPr>
          <w:rFonts w:ascii="Times New Roman" w:hAnsi="Times New Roman" w:cs="Times New Roman"/>
          <w:b/>
          <w:bCs/>
          <w:sz w:val="21"/>
          <w:szCs w:val="21"/>
        </w:rPr>
        <w:t xml:space="preserve">The </w:t>
      </w:r>
      <w:r>
        <w:rPr>
          <w:rFonts w:ascii="Times New Roman" w:hAnsi="Times New Roman" w:cs="Times New Roman" w:hint="eastAsia"/>
          <w:b/>
          <w:bCs/>
          <w:sz w:val="21"/>
          <w:szCs w:val="21"/>
        </w:rPr>
        <w:t xml:space="preserve">s</w:t>
      </w:r>
      <w:r>
        <w:rPr>
          <w:rFonts w:ascii="Times New Roman" w:hAnsi="Times New Roman" w:cs="Times New Roman"/>
          <w:b/>
          <w:bCs/>
          <w:sz w:val="21"/>
          <w:szCs w:val="21"/>
        </w:rPr>
        <w:t xml:space="preserve">olar-to-</w:t>
      </w:r>
      <w:r>
        <w:rPr>
          <w:rFonts w:ascii="Times New Roman" w:hAnsi="Times New Roman" w:cs="Times New Roman"/>
          <w:b/>
          <w:bCs/>
          <w:sz w:val="21"/>
          <w:szCs w:val="21"/>
        </w:rPr>
        <w:t xml:space="preserve">hydrogen</w:t>
      </w:r>
      <w:r>
        <w:rPr>
          <w:rFonts w:ascii="Times New Roman" w:hAnsi="Times New Roman" w:cs="Times New Roman"/>
          <w:b/>
          <w:bCs/>
          <w:sz w:val="21"/>
          <w:szCs w:val="21"/>
        </w:rPr>
        <w:t xml:space="preserve"> (STH)</w:t>
      </w:r>
      <w:r>
        <w:rPr>
          <w:rFonts w:ascii="Times New Roman" w:hAnsi="Times New Roman" w:cs="Times New Roman"/>
          <w:b/>
          <w:bCs/>
          <w:sz w:val="21"/>
          <w:szCs w:val="21"/>
        </w:rPr>
        <w:t xml:space="preserve"> conversion efficiency of </w:t>
      </w:r>
      <w:r>
        <w:rPr>
          <w:rFonts w:ascii="Times New Roman" w:hAnsi="Times New Roman" w:cs="Times New Roman"/>
          <w:b/>
          <w:bCs/>
          <w:sz w:val="21"/>
          <w:szCs w:val="21"/>
        </w:rPr>
        <w:t xml:space="preserve">12.2</w:t>
      </w:r>
      <w:r>
        <w:rPr>
          <w:rFonts w:ascii="Times New Roman" w:hAnsi="Times New Roman" w:cs="Times New Roman"/>
          <w:b/>
          <w:bCs/>
          <w:sz w:val="21"/>
          <w:szCs w:val="21"/>
        </w:rPr>
        <w:t xml:space="preserve">% is also achieve</w:t>
      </w:r>
      <w:r>
        <w:rPr>
          <w:rFonts w:ascii="Times New Roman" w:hAnsi="Times New Roman" w:cs="Times New Roman"/>
          <w:b/>
          <w:bCs/>
          <w:sz w:val="21"/>
          <w:szCs w:val="21"/>
        </w:rPr>
        <w:t xml:space="preserve">d under AM 1.5G simulated </w:t>
      </w:r>
      <w:r>
        <w:rPr>
          <w:rFonts w:ascii="Times New Roman" w:hAnsi="Times New Roman" w:cs="Times New Roman"/>
          <w:b/>
          <w:bCs/>
          <w:sz w:val="21"/>
          <w:szCs w:val="21"/>
        </w:rPr>
        <w:t xml:space="preserve">solar</w:t>
      </w:r>
      <w:r>
        <w:rPr>
          <w:rFonts w:ascii="Times New Roman" w:hAnsi="Times New Roman" w:cs="Times New Roman"/>
          <w:b/>
          <w:bCs/>
          <w:sz w:val="21"/>
          <w:szCs w:val="21"/>
        </w:rPr>
        <w:t xml:space="preserve"> i</w:t>
      </w:r>
      <w:r>
        <w:rPr>
          <w:rFonts w:ascii="Times New Roman" w:hAnsi="Times New Roman" w:cs="Times New Roman"/>
          <w:b/>
          <w:bCs/>
          <w:sz w:val="21"/>
          <w:szCs w:val="21"/>
        </w:rPr>
        <w:t xml:space="preserve">llumination</w:t>
      </w:r>
      <w:r>
        <w:rPr>
          <w:rFonts w:ascii="Times New Roman" w:hAnsi="Times New Roman" w:cs="Times New Roman"/>
          <w:b/>
          <w:bCs/>
          <w:sz w:val="21"/>
          <w:szCs w:val="21"/>
        </w:rPr>
        <w:t xml:space="preserve">, </w:t>
      </w:r>
      <w:r>
        <w:rPr>
          <w:rFonts w:ascii="Times New Roman" w:hAnsi="Times New Roman" w:cs="Times New Roman"/>
          <w:b/>
          <w:bCs/>
          <w:sz w:val="21"/>
          <w:szCs w:val="21"/>
        </w:rPr>
        <w:t xml:space="preserve">which, to the best of our knowledge, surpasses </w:t>
      </w:r>
      <w:r>
        <w:rPr>
          <w:rFonts w:ascii="Times New Roman" w:hAnsi="Times New Roman" w:cs="Times New Roman"/>
          <w:b/>
          <w:bCs/>
          <w:sz w:val="21"/>
          <w:szCs w:val="21"/>
        </w:rPr>
        <w:t xml:space="preserve">all reported results of </w:t>
      </w:r>
      <w:r>
        <w:rPr>
          <w:rFonts w:ascii="Times New Roman" w:hAnsi="Times New Roman" w:cs="Times New Roman"/>
          <w:b/>
          <w:bCs/>
          <w:sz w:val="21"/>
          <w:szCs w:val="21"/>
        </w:rPr>
        <w:t xml:space="preserve">particulate </w:t>
      </w:r>
      <w:r>
        <w:rPr>
          <w:rFonts w:ascii="Times New Roman" w:hAnsi="Times New Roman" w:cs="Times New Roman"/>
          <w:b/>
          <w:bCs/>
          <w:sz w:val="21"/>
          <w:szCs w:val="21"/>
        </w:rPr>
        <w:t xml:space="preserve">POWS systems</w:t>
      </w:r>
      <w:r>
        <w:rPr>
          <w:rFonts w:ascii="Times New Roman" w:hAnsi="Times New Roman" w:cs="Times New Roman"/>
          <w:b/>
          <w:bCs/>
          <w:sz w:val="21"/>
          <w:szCs w:val="21"/>
        </w:rPr>
        <w:t xml:space="preserve"> so far</w:t>
      </w:r>
      <w:r>
        <w:rPr>
          <w:rFonts w:ascii="Times New Roman" w:hAnsi="Times New Roman" w:cs="Times New Roman"/>
          <w:b/>
          <w:bCs/>
          <w:sz w:val="21"/>
          <w:szCs w:val="21"/>
        </w:rPr>
        <w:t xml:space="preserve">.</w:t>
      </w:r>
      <w:r>
        <w:rPr>
          <w:rFonts w:ascii="Times New Roman" w:hAnsi="Times New Roman" w:cs="Times New Roman"/>
          <w:b/>
          <w:bCs/>
          <w:sz w:val="21"/>
          <w:szCs w:val="21"/>
        </w:rPr>
        <w:t xml:space="preserve"> Moreover, this remarkable STH efficiency also reaches the requirement of practical application</w:t>
      </w:r>
      <w:r>
        <w:rPr>
          <w:rFonts w:ascii="Times New Roman" w:hAnsi="Times New Roman" w:cs="Times New Roman"/>
          <w:b/>
          <w:bCs/>
          <w:sz w:val="21"/>
          <w:szCs w:val="21"/>
        </w:rPr>
        <w:t xml:space="preserve">s</w:t>
      </w:r>
      <w:r>
        <w:rPr>
          <w:rFonts w:ascii="Times New Roman" w:hAnsi="Times New Roman" w:cs="Times New Roman"/>
          <w:b/>
          <w:bCs/>
          <w:sz w:val="21"/>
          <w:szCs w:val="21"/>
        </w:rPr>
        <w:t xml:space="preserve"> of the POWS system.</w:t>
      </w:r>
      <w:r/>
    </w:p>
    <w:p>
      <w:pPr>
        <w:jc w:val="both"/>
        <w:spacing w:lineRule="exact" w:line="400" w:after="156"/>
        <w:rPr>
          <w:rFonts w:ascii="Times New Roman" w:hAnsi="Times New Roman" w:cs="Times New Roman"/>
          <w:b/>
          <w:bCs/>
          <w:sz w:val="21"/>
          <w:szCs w:val="21"/>
        </w:rPr>
      </w:pPr>
      <w:r>
        <w:rPr>
          <w:rFonts w:ascii="Times New Roman" w:hAnsi="Times New Roman" w:cs="Times New Roman"/>
          <w:b/>
          <w:bCs/>
          <w:sz w:val="21"/>
          <w:szCs w:val="21"/>
        </w:rPr>
      </w:r>
      <w:r/>
    </w:p>
    <w:p>
      <w:pPr>
        <w:jc w:val="both"/>
        <w:spacing w:lineRule="exact" w:line="400" w:after="156"/>
        <w:rPr>
          <w:rFonts w:ascii="Times New Roman" w:hAnsi="Times New Roman" w:cs="Times New Roman"/>
          <w:b/>
          <w:bCs/>
          <w:sz w:val="21"/>
          <w:szCs w:val="21"/>
        </w:rPr>
      </w:pPr>
      <w:r>
        <w:rPr>
          <w:rFonts w:ascii="Times New Roman" w:hAnsi="Times New Roman" w:cs="Times New Roman"/>
          <w:b/>
          <w:bCs/>
          <w:sz w:val="21"/>
          <w:szCs w:val="21"/>
        </w:rPr>
        <w:t xml:space="preserve">Keywords:</w:t>
      </w:r>
      <w:r>
        <w:rPr>
          <w:rFonts w:ascii="Times New Roman" w:hAnsi="Times New Roman" w:cs="Times New Roman" w:hint="eastAsia"/>
          <w:b/>
          <w:bCs/>
          <w:sz w:val="21"/>
          <w:szCs w:val="21"/>
        </w:rPr>
        <w:t xml:space="preserve"> </w:t>
      </w:r>
      <w:r>
        <w:rPr>
          <w:rFonts w:ascii="Times New Roman" w:hAnsi="Times New Roman" w:cs="Times New Roman"/>
          <w:bCs/>
          <w:sz w:val="21"/>
          <w:szCs w:val="21"/>
        </w:rPr>
        <w:t xml:space="preserve">Photocatalysis; </w:t>
      </w:r>
      <w:r>
        <w:rPr>
          <w:rFonts w:ascii="Times New Roman" w:hAnsi="Times New Roman" w:cs="Times New Roman"/>
          <w:bCs/>
          <w:sz w:val="21"/>
          <w:szCs w:val="21"/>
        </w:rPr>
        <w:t xml:space="preserve">superparamagnetic</w:t>
      </w:r>
      <w:r>
        <w:rPr>
          <w:rFonts w:ascii="Times New Roman" w:hAnsi="Times New Roman" w:cs="Times New Roman" w:hint="eastAsia"/>
          <w:bCs/>
          <w:sz w:val="21"/>
          <w:szCs w:val="21"/>
        </w:rPr>
        <w:t xml:space="preserve"> nanoparticles;</w:t>
      </w:r>
      <w:r>
        <w:rPr>
          <w:rFonts w:ascii="Times New Roman" w:hAnsi="Times New Roman" w:cs="Times New Roman"/>
          <w:bCs/>
          <w:sz w:val="21"/>
          <w:szCs w:val="21"/>
        </w:rPr>
        <w:t xml:space="preserve"> </w:t>
      </w:r>
      <w:r>
        <w:rPr>
          <w:rFonts w:ascii="Times New Roman" w:hAnsi="Times New Roman" w:cs="Times New Roman"/>
          <w:bCs/>
          <w:sz w:val="21"/>
          <w:szCs w:val="21"/>
        </w:rPr>
        <w:t xml:space="preserve">hydrogen evolution; water splitting; magnetic field effect</w:t>
      </w:r>
      <w:r/>
    </w:p>
    <w:p>
      <w:pPr>
        <w:jc w:val="both"/>
        <w:spacing w:lineRule="exact" w:line="400" w:after="156"/>
        <w:rPr>
          <w:rFonts w:ascii="Times New Roman" w:hAnsi="Times New Roman" w:cs="Times New Roman"/>
          <w:b/>
          <w:bCs/>
          <w:sz w:val="21"/>
          <w:szCs w:val="21"/>
        </w:rPr>
      </w:pPr>
      <w:r>
        <w:rPr>
          <w:rFonts w:ascii="Times New Roman" w:hAnsi="Times New Roman" w:cs="Times New Roman"/>
          <w:b/>
          <w:bCs/>
          <w:sz w:val="21"/>
          <w:szCs w:val="21"/>
        </w:rPr>
      </w:r>
      <w:r/>
    </w:p>
    <w:p>
      <w:pPr>
        <w:pStyle w:val="646"/>
        <w:numPr>
          <w:ilvl w:val="0"/>
          <w:numId w:val="1"/>
        </w:numPr>
        <w:ind w:left="0"/>
        <w:jc w:val="both"/>
        <w:spacing w:lineRule="exact" w:line="400" w:after="156"/>
        <w:rPr>
          <w:rFonts w:ascii="Times New Roman" w:hAnsi="Times New Roman" w:cs="Times New Roman"/>
          <w:b/>
          <w:bCs/>
        </w:rPr>
      </w:pPr>
      <w:r>
        <w:rPr>
          <w:rFonts w:ascii="Times New Roman" w:hAnsi="Times New Roman" w:cs="Times New Roman" w:hint="eastAsia"/>
          <w:b/>
          <w:bCs/>
        </w:rPr>
        <w:t xml:space="preserve">I</w:t>
      </w:r>
      <w:r>
        <w:rPr>
          <w:rFonts w:ascii="Times New Roman" w:hAnsi="Times New Roman" w:cs="Times New Roman"/>
          <w:b/>
          <w:bCs/>
        </w:rPr>
        <w:t xml:space="preserve">ntroduction</w:t>
      </w:r>
      <w:r/>
    </w:p>
    <w:p>
      <w:pPr>
        <w:jc w:val="both"/>
        <w:spacing w:lineRule="exact" w:line="400" w:after="156"/>
        <w:rPr>
          <w:rFonts w:ascii="Times New Roman" w:hAnsi="Times New Roman" w:cs="Times New Roman"/>
          <w:sz w:val="21"/>
          <w:szCs w:val="21"/>
        </w:rPr>
      </w:pPr>
      <w:r>
        <w:rPr>
          <w:rFonts w:ascii="Times New Roman" w:hAnsi="Times New Roman" w:cs="Times New Roman"/>
          <w:sz w:val="21"/>
          <w:szCs w:val="21"/>
        </w:rPr>
        <w:t xml:space="preserve">S</w:t>
      </w:r>
      <w:r>
        <w:rPr>
          <w:rFonts w:ascii="Times New Roman" w:hAnsi="Times New Roman" w:cs="Times New Roman" w:hint="eastAsia"/>
          <w:sz w:val="21"/>
          <w:szCs w:val="21"/>
        </w:rPr>
        <w:t xml:space="preserve">tor</w:t>
      </w:r>
      <w:r>
        <w:rPr>
          <w:rFonts w:ascii="Times New Roman" w:hAnsi="Times New Roman" w:cs="Times New Roman"/>
          <w:sz w:val="21"/>
          <w:szCs w:val="21"/>
        </w:rPr>
        <w:t xml:space="preserve">age</w:t>
      </w:r>
      <w:r>
        <w:rPr>
          <w:rFonts w:ascii="Times New Roman" w:hAnsi="Times New Roman" w:cs="Times New Roman"/>
          <w:sz w:val="21"/>
          <w:szCs w:val="21"/>
        </w:rPr>
        <w:t xml:space="preserve"> of solar energy and</w:t>
      </w:r>
      <w:r>
        <w:rPr>
          <w:rFonts w:ascii="Times New Roman" w:hAnsi="Times New Roman" w:cs="Times New Roman"/>
          <w:sz w:val="21"/>
          <w:szCs w:val="21"/>
        </w:rPr>
        <w:t xml:space="preserve"> conversion to chemical energy </w:t>
      </w:r>
      <w:r>
        <w:rPr>
          <w:rFonts w:ascii="Times New Roman" w:hAnsi="Times New Roman" w:cs="Times New Roman"/>
          <w:sz w:val="21"/>
          <w:szCs w:val="21"/>
        </w:rPr>
        <w:t xml:space="preserve">by photocatalytic processes have become a promising </w:t>
      </w:r>
      <w:r>
        <w:rPr>
          <w:rFonts w:ascii="Times New Roman" w:hAnsi="Times New Roman" w:cs="Times New Roman"/>
          <w:sz w:val="21"/>
          <w:szCs w:val="21"/>
        </w:rPr>
        <w:t xml:space="preserve">strategy to mitigate</w:t>
      </w:r>
      <w:r>
        <w:rPr>
          <w:rFonts w:ascii="Times New Roman" w:hAnsi="Times New Roman" w:cs="Times New Roman"/>
          <w:sz w:val="21"/>
          <w:szCs w:val="21"/>
        </w:rPr>
        <w:t xml:space="preserve"> the energy crisis in recent years, which makes the photocatalytic overall water splitting</w:t>
      </w:r>
      <w:r>
        <w:rPr>
          <w:rFonts w:ascii="Times New Roman" w:hAnsi="Times New Roman" w:cs="Times New Roman"/>
          <w:sz w:val="21"/>
          <w:szCs w:val="21"/>
        </w:rPr>
        <w:t xml:space="preserve"> (POWS) reaction</w:t>
      </w:r>
      <w:r>
        <w:rPr>
          <w:rFonts w:ascii="Times New Roman" w:hAnsi="Times New Roman" w:cs="Times New Roman" w:hint="eastAsia"/>
          <w:sz w:val="21"/>
          <w:szCs w:val="21"/>
        </w:rPr>
        <w:t xml:space="preserve"> </w:t>
      </w:r>
      <w:r>
        <w:rPr>
          <w:rFonts w:ascii="Times New Roman" w:hAnsi="Times New Roman" w:cs="Times New Roman"/>
          <w:sz w:val="21"/>
          <w:szCs w:val="21"/>
        </w:rPr>
        <w:t xml:space="preserve">attract increasing attention all around the world. </w:t>
      </w:r>
      <w:r>
        <w:rPr>
          <w:rFonts w:ascii="Times New Roman" w:hAnsi="Times New Roman" w:cs="Times New Roman"/>
          <w:sz w:val="21"/>
          <w:szCs w:val="21"/>
        </w:rPr>
        <w:t xml:space="preserve">With the help of proper photocatalysts, oxygen and hydrogen are produced </w:t>
      </w:r>
      <w:r>
        <w:rPr>
          <w:rFonts w:ascii="Times New Roman" w:hAnsi="Times New Roman" w:cs="Times New Roman"/>
          <w:sz w:val="21"/>
          <w:szCs w:val="21"/>
        </w:rPr>
        <w:t xml:space="preserve">from water </w:t>
      </w:r>
      <w:r>
        <w:rPr>
          <w:rFonts w:ascii="Times New Roman" w:hAnsi="Times New Roman" w:cs="Times New Roman"/>
          <w:sz w:val="21"/>
          <w:szCs w:val="21"/>
        </w:rPr>
        <w:t xml:space="preserve">stoichiometrically via POWS reaction and </w:t>
      </w:r>
      <w:r>
        <w:rPr>
          <w:rFonts w:ascii="Times New Roman" w:hAnsi="Times New Roman" w:cs="Times New Roman"/>
          <w:sz w:val="21"/>
          <w:szCs w:val="21"/>
        </w:rPr>
        <w:t xml:space="preserve">the solar energy </w:t>
      </w:r>
      <w:r>
        <w:rPr>
          <w:rFonts w:ascii="Times New Roman" w:hAnsi="Times New Roman" w:cs="Times New Roman"/>
          <w:sz w:val="21"/>
          <w:szCs w:val="21"/>
        </w:rPr>
        <w:t xml:space="preserve">is therefore stored </w:t>
      </w:r>
      <w:r>
        <w:rPr>
          <w:rFonts w:ascii="Times New Roman" w:hAnsi="Times New Roman" w:cs="Times New Roman"/>
          <w:sz w:val="21"/>
          <w:szCs w:val="21"/>
        </w:rPr>
        <w:t xml:space="preserve">in </w:t>
      </w:r>
      <w:r>
        <w:rPr>
          <w:rFonts w:ascii="Times New Roman" w:hAnsi="Times New Roman" w:cs="Times New Roman"/>
          <w:sz w:val="21"/>
          <w:szCs w:val="21"/>
        </w:rPr>
        <w:t xml:space="preserve">the form of hydrogen, which is an </w:t>
      </w:r>
      <w:r>
        <w:rPr>
          <w:rFonts w:ascii="Times New Roman" w:hAnsi="Times New Roman" w:cs="Times New Roman"/>
          <w:sz w:val="21"/>
          <w:szCs w:val="21"/>
        </w:rPr>
        <w:t xml:space="preserve">attractive</w:t>
      </w:r>
      <w:r>
        <w:rPr>
          <w:rFonts w:ascii="Times New Roman" w:hAnsi="Times New Roman" w:cs="Times New Roman"/>
          <w:sz w:val="21"/>
          <w:szCs w:val="21"/>
        </w:rPr>
        <w:t xml:space="preserve"> </w:t>
      </w:r>
      <w:r>
        <w:rPr>
          <w:rFonts w:ascii="Times New Roman" w:hAnsi="Times New Roman" w:cs="Times New Roman"/>
          <w:sz w:val="21"/>
          <w:szCs w:val="21"/>
        </w:rPr>
        <w:t xml:space="preserve">carbon-emission-free </w:t>
      </w:r>
      <w:r>
        <w:rPr>
          <w:rFonts w:ascii="Times New Roman" w:hAnsi="Times New Roman" w:cs="Times New Roman"/>
          <w:sz w:val="21"/>
          <w:szCs w:val="21"/>
        </w:rPr>
        <w:t xml:space="preserve">chemical fuel</w:t>
      </w:r>
      <w:r>
        <w:rPr>
          <w:rFonts w:ascii="Times New Roman" w:hAnsi="Times New Roman" w:cs="Times New Roman"/>
          <w:sz w:val="21"/>
          <w:szCs w:val="21"/>
        </w:rPr>
        <w:t xml:space="preserve"> with</w:t>
      </w:r>
      <w:r>
        <w:rPr>
          <w:rFonts w:ascii="Times New Roman" w:hAnsi="Times New Roman" w:cs="Times New Roman"/>
          <w:sz w:val="21"/>
          <w:szCs w:val="21"/>
        </w:rPr>
        <w:t xml:space="preserve"> high energy density of 143 MJ kg</w:t>
      </w:r>
      <w:r>
        <w:rPr>
          <w:rFonts w:ascii="Times New Roman" w:hAnsi="Times New Roman" w:cs="Times New Roman"/>
          <w:sz w:val="21"/>
          <w:szCs w:val="21"/>
          <w:vertAlign w:val="superscript"/>
        </w:rPr>
        <w:t xml:space="preserve">-1</w:t>
      </w:r>
      <w:r>
        <w:rPr>
          <w:rFonts w:ascii="Times New Roman" w:hAnsi="Times New Roman" w:cs="Times New Roman"/>
          <w:sz w:val="21"/>
          <w:szCs w:val="21"/>
        </w:rPr>
        <w:t xml:space="preserve">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ADDIN CSL_CITATION {"citationItems":[{"id":"ITEM-1","itemData":{"DOI":"10.1038/s41467-019-08358-z","ISSN":"20411723","abstract":"The exploitation of the stable and earth-abund</w:instrText>
      </w:r>
      <w:r>
        <w:rPr>
          <w:rFonts w:ascii="Times New Roman" w:hAnsi="Times New Roman" w:cs="Times New Roman"/>
          <w:sz w:val="21"/>
          <w:szCs w:val="21"/>
        </w:rPr>
        <w:instrText xml:space="preserve">ant electrocatalyst with high catalytic activity remains a significant challenge for hydrogen evolution reaction. Being different from complex nanostructuring, this work focuses on a simple and feasible way to improve hydrogen evolution reaction performanc</w:instrText>
      </w:r>
      <w:r>
        <w:rPr>
          <w:rFonts w:ascii="Times New Roman" w:hAnsi="Times New Roman" w:cs="Times New Roman"/>
          <w:sz w:val="21"/>
          <w:szCs w:val="21"/>
        </w:rPr>
        <w:instrText xml:space="preserve">e via manipulation of intrinsic physical properties of the material. Herein, we present an interesting semiconductor-metal transition in ultrathin troilite FeS nanosheets triggered by near infrared radiation at near room temperature for the first time. The</w:instrText>
      </w:r>
      <w:r>
        <w:rPr>
          <w:rFonts w:ascii="Times New Roman" w:hAnsi="Times New Roman" w:cs="Times New Roman"/>
          <w:sz w:val="21"/>
          <w:szCs w:val="21"/>
        </w:rPr>
        <w:instrText xml:space="preserve"> photogenerated metal-phase FeS nanosheets demonstrate intrinsically high catalytic activity and fast carrier transfer for hydrogen evolution reaction, leading to an overpotential of 142 mV at 10 mA cm −2 and a lower Tafel slope of 36.9 mV per decade. Our </w:instrText>
      </w:r>
      <w:r>
        <w:rPr>
          <w:rFonts w:ascii="Times New Roman" w:hAnsi="Times New Roman" w:cs="Times New Roman"/>
          <w:sz w:val="21"/>
          <w:szCs w:val="21"/>
        </w:rPr>
        <w:instrText xml:space="preserve">findings provide new inspirations for the steering of electron transfer and designing new-type catalysts.","author":[{"dropping-particle":"","family":"Zhou","given":"Gang","non-dropping-particle":"","parse-names":false,"suffix":""},{"dropping-particle":"",</w:instrText>
      </w:r>
      <w:r>
        <w:rPr>
          <w:rFonts w:ascii="Times New Roman" w:hAnsi="Times New Roman" w:cs="Times New Roman"/>
          <w:sz w:val="21"/>
          <w:szCs w:val="21"/>
        </w:rPr>
        <w:instrText xml:space="preserve">"family":"Shan","given":"Yun","non-dropping-particle":"","parse-names":false,"suffix":""},{"dropping-particle":"","family":"Wang","given":"Longlu","non-dropping-particle":"","parse-names":false,"suffix":""},{"dropping-particle":"","family":"Hu","given":"Yo</w:instrText>
      </w:r>
      <w:r>
        <w:rPr>
          <w:rFonts w:ascii="Times New Roman" w:hAnsi="Times New Roman" w:cs="Times New Roman"/>
          <w:sz w:val="21"/>
          <w:szCs w:val="21"/>
        </w:rPr>
        <w:instrText xml:space="preserve">uyou","non-dropping-particle":"","parse-names":false,"suffix":""},{"dropping-particle":"","family":"Guo","given":"Junhong","non-dropping-particle":"","parse-names":false,"suffix":""},{"dropping-particle":"","family":"Hu","given":"Fangren","non-dropping-par</w:instrText>
      </w:r>
      <w:r>
        <w:rPr>
          <w:rFonts w:ascii="Times New Roman" w:hAnsi="Times New Roman" w:cs="Times New Roman"/>
          <w:sz w:val="21"/>
          <w:szCs w:val="21"/>
        </w:rPr>
        <w:instrText xml:space="preserve">ticle":"","parse-names":false,"suffix":""},{"dropping-particle":"","family":"Shen","given":"Jiancang","non-dropping-particle":"","parse-names":false,"suffix":""},{"dropping-particle":"","family":"Gu","given":"Yu","non-dropping-particle":"","parse-names":fa</w:instrText>
      </w:r>
      <w:r>
        <w:rPr>
          <w:rFonts w:ascii="Times New Roman" w:hAnsi="Times New Roman" w:cs="Times New Roman"/>
          <w:sz w:val="21"/>
          <w:szCs w:val="21"/>
        </w:rPr>
        <w:instrText xml:space="preserve">lse,"suffix":""},{"dropping-particle":"","family":"Cui","given":"Jingteng","non-dropping-particle":"","parse-names":false,"suffix":""},{"dropping-particle":"","family":"Liu","given":"Lizhe","non-dropping-particle":"","parse-names":false,"suffix":""},{"drop</w:instrText>
      </w:r>
      <w:r>
        <w:rPr>
          <w:rFonts w:ascii="Times New Roman" w:hAnsi="Times New Roman" w:cs="Times New Roman"/>
          <w:sz w:val="21"/>
          <w:szCs w:val="21"/>
        </w:rPr>
        <w:instrText xml:space="preserve">ping-particle":"","family":"Wu","given":"Xinglong","non-dropping-particle":"","parse-names":false,"suffix":""}],"container-title":"Nature Communications","id":"ITEM-1","issued":{"date-parts":[["2019"]]},"page":"399","title":"Photoinduced semiconductor-meta</w:instrText>
      </w:r>
      <w:r>
        <w:rPr>
          <w:rFonts w:ascii="Times New Roman" w:hAnsi="Times New Roman" w:cs="Times New Roman"/>
          <w:sz w:val="21"/>
          <w:szCs w:val="21"/>
        </w:rPr>
        <w:instrText xml:space="preserve">l transition in ultrathin troilite FeS nanosheets to trigger efficient hydrogen evolution","type":"article-journal","volume":"10"},"uris":["http://www.mendeley.com/documents/?uuid=5af101a3-c2d6-4453-91c4-cd6b4ed9d263"]},{"id":"ITEM-2","itemData":{"DOI":"10</w:instrText>
      </w:r>
      <w:r>
        <w:rPr>
          <w:rFonts w:ascii="Times New Roman" w:hAnsi="Times New Roman" w:cs="Times New Roman"/>
          <w:sz w:val="21"/>
          <w:szCs w:val="21"/>
        </w:rPr>
        <w:instrText xml:space="preserve">.1021/cr1001645","ISSN":"00092665","author":[{"dropping-particle":"","family":"Chen","given":"Xiaobo","non-dropping-particle":"","parse-names":false,"suffix":""},{"dropping-particle":"","family":"Shen","given":"Shaohua","non-dropping-particle":"","parse-na</w:instrText>
      </w:r>
      <w:r>
        <w:rPr>
          <w:rFonts w:ascii="Times New Roman" w:hAnsi="Times New Roman" w:cs="Times New Roman"/>
          <w:sz w:val="21"/>
          <w:szCs w:val="21"/>
        </w:rPr>
        <w:instrText xml:space="preserve">mes":false,"suffix":""},{"dropping-particle":"","family":"Guo","given":"Liejin","non-dropping-particle":"","parse-names":false,"suffix":""},{"dropping-particle":"","family":"Mao","given":"Samuel S.","non-dropping-particle":"","parse-names":false,"suffix":"</w:instrText>
      </w:r>
      <w:r>
        <w:rPr>
          <w:rFonts w:ascii="Times New Roman" w:hAnsi="Times New Roman" w:cs="Times New Roman"/>
          <w:sz w:val="21"/>
          <w:szCs w:val="21"/>
        </w:rPr>
        <w:instrText xml:space="preserve">"}],"container-title":"Chemical Reviews","id":"ITEM-2","issue":"11","issued":{"date-parts":[["2010"]]},"page":"6503-6570","title":"Semiconductor-based photocatalytic hydrogen generation","type":"article-journal","volume":"110"},"uris":["http://www.mendeley</w:instrText>
      </w:r>
      <w:r>
        <w:rPr>
          <w:rFonts w:ascii="Times New Roman" w:hAnsi="Times New Roman" w:cs="Times New Roman"/>
          <w:sz w:val="21"/>
          <w:szCs w:val="21"/>
        </w:rPr>
        <w:instrText xml:space="preserve">.com/documents/?uuid=fe9262bc-79e6-4159-a164-97031bdeddec"]},{"id":"ITEM-3","itemData":{"DOI":"10.1021/ja2025454","ISSN":"00027863","abstract":"The production of clean and renewable hydrogen through water splitting using photocatalysts has received much at</w:instrText>
      </w:r>
      <w:r>
        <w:rPr>
          <w:rFonts w:ascii="Times New Roman" w:hAnsi="Times New Roman" w:cs="Times New Roman"/>
          <w:sz w:val="21"/>
          <w:szCs w:val="21"/>
        </w:rPr>
        <w:instrText xml:space="preserve">tention due to the increasing global energy crises. In this study, a high efficiency of the photocatalytic H 2 production was achieved using graphene nanosheets decorated with CdS clusters as visible-light-driven photocatalysts. The materials were prepared</w:instrText>
      </w:r>
      <w:r>
        <w:rPr>
          <w:rFonts w:ascii="Times New Roman" w:hAnsi="Times New Roman" w:cs="Times New Roman"/>
          <w:sz w:val="21"/>
          <w:szCs w:val="21"/>
        </w:rPr>
        <w:instrText xml:space="preserve"> by a solvothermal method in which graphene oxide (GO) served as the support and cadmium acetate (Cd(Ac)2) as the CdS precursor. These nanosized composites reach a high H2-production rate of 1.12 mmol h -1 (about 4.87 times higher than that of pure CdS nan</w:instrText>
      </w:r>
      <w:r>
        <w:rPr>
          <w:rFonts w:ascii="Times New Roman" w:hAnsi="Times New Roman" w:cs="Times New Roman"/>
          <w:sz w:val="21"/>
          <w:szCs w:val="21"/>
        </w:rPr>
        <w:instrText xml:space="preserve">oparticles) at graphene content of 1.0 wt % and Pt 0.5 wt % under visible-light irradiation and an apparent quantum efficiency (QE) of 22.5% at wavelength of 420 nm. This high photocatalytic H2-production activity is attributed predominantly to the presenc</w:instrText>
      </w:r>
      <w:r>
        <w:rPr>
          <w:rFonts w:ascii="Times New Roman" w:hAnsi="Times New Roman" w:cs="Times New Roman"/>
          <w:sz w:val="21"/>
          <w:szCs w:val="21"/>
        </w:rPr>
        <w:instrText xml:space="preserve">e of graphene, which serves as an electron collector and transporter to efficiently lengthen the lifetime of the photogenerated charge carriers from CdS nanoparticles. This work highlights the potential application of graphene-based materials in the field </w:instrText>
      </w:r>
      <w:r>
        <w:rPr>
          <w:rFonts w:ascii="Times New Roman" w:hAnsi="Times New Roman" w:cs="Times New Roman"/>
          <w:sz w:val="21"/>
          <w:szCs w:val="21"/>
        </w:rPr>
        <w:instrText xml:space="preserve">of energy conversion. © 2011 American Chemical Society.","author":[{"dropping-particle":"","family":"Li","given":"Qin","non-dropping-particle":"","parse-names":false,"suffix":""},{"dropping-particle":"","family":"Guo","given":"Beidou","non-dropping-particl</w:instrText>
      </w:r>
      <w:r>
        <w:rPr>
          <w:rFonts w:ascii="Times New Roman" w:hAnsi="Times New Roman" w:cs="Times New Roman"/>
          <w:sz w:val="21"/>
          <w:szCs w:val="21"/>
        </w:rPr>
        <w:instrText xml:space="preserve">e":"","parse-names":false,"suffix":""},{"dropping-particle":"","family":"Yu","given":"Jiaguo","non-dropping-particle":"","parse-names":false,"suffix":""},{"dropping-particle":"","family":"Ran","given":"Jingrun","non-dropping-particle":"","parse-names":fals</w:instrText>
      </w:r>
      <w:r>
        <w:rPr>
          <w:rFonts w:ascii="Times New Roman" w:hAnsi="Times New Roman" w:cs="Times New Roman"/>
          <w:sz w:val="21"/>
          <w:szCs w:val="21"/>
        </w:rPr>
        <w:instrText xml:space="preserve">e,"suffix":""},{"dropping-particle":"","family":"Zhang","given":"Baohong","non-dropping-particle":"","parse-names":false,"suffix":""},{"dropping-particle":"","family":"Yan","given":"Huijuan","non-dropping-particle":"","parse-names":false,"suffix":""},{"dro</w:instrText>
      </w:r>
      <w:r>
        <w:rPr>
          <w:rFonts w:ascii="Times New Roman" w:hAnsi="Times New Roman" w:cs="Times New Roman"/>
          <w:sz w:val="21"/>
          <w:szCs w:val="21"/>
        </w:rPr>
        <w:instrText xml:space="preserve">pping-particle":"","family":"Gong","given":"Jian Ru","non-dropping-particle":"","parse-names":false,"suffix":""}],"container-title":"Journal of the American Chemical Society","id":"ITEM-3","issue":"28","issued":{"date-parts":[["2011"]]},"page":"10878-10884</w:instrText>
      </w:r>
      <w:r>
        <w:rPr>
          <w:rFonts w:ascii="Times New Roman" w:hAnsi="Times New Roman" w:cs="Times New Roman"/>
          <w:sz w:val="21"/>
          <w:szCs w:val="21"/>
        </w:rPr>
        <w:instrText xml:space="preserve">","title":"Highly efficient visible-light-driven photocatalytic hydrogen production of CdS-cluster-decorated graphene nanosheets","type":"article-journal","volume":"133"},"uris":["http://www.mendeley.com/documents/?uuid=1eb91be2-e5aa-4ba9-bd76-c26033a5d498</w:instrText>
      </w:r>
      <w:r>
        <w:rPr>
          <w:rFonts w:ascii="Times New Roman" w:hAnsi="Times New Roman" w:cs="Times New Roman"/>
          <w:sz w:val="21"/>
          <w:szCs w:val="21"/>
        </w:rPr>
        <w:instrText xml:space="preserve">"]}],"mendeley":{"formattedCitation":"&lt;sup&gt;1–3&lt;/sup&gt;","plainTextFormattedCitation":"1–3","previouslyFormattedCitation":"&lt;sup&gt;1–3&lt;/sup&gt;"},"properties":{"noteIndex":0},"schema":"https://github.com/citation-style-language/schema/raw/master/csl-citation.json"}</w:instrText>
      </w:r>
      <w:r>
        <w:rPr>
          <w:rFonts w:ascii="Times New Roman" w:hAnsi="Times New Roman" w:cs="Times New Roman"/>
          <w:sz w:val="21"/>
          <w:szCs w:val="21"/>
        </w:rPr>
        <w:fldChar w:fldCharType="separate"/>
      </w:r>
      <w:r>
        <w:rPr>
          <w:rFonts w:ascii="Times New Roman" w:hAnsi="Times New Roman" w:cs="Times New Roman"/>
          <w:sz w:val="21"/>
          <w:szCs w:val="21"/>
          <w:vertAlign w:val="superscript"/>
        </w:rPr>
        <w:t xml:space="preserve">1–3</w:t>
      </w:r>
      <w:r>
        <w:rPr>
          <w:rFonts w:ascii="Times New Roman" w:hAnsi="Times New Roman" w:cs="Times New Roman"/>
          <w:sz w:val="21"/>
          <w:szCs w:val="21"/>
        </w:rPr>
        <w:fldChar w:fldCharType="end"/>
      </w:r>
      <w:r>
        <w:rPr>
          <w:rFonts w:ascii="Times New Roman" w:hAnsi="Times New Roman" w:cs="Times New Roman"/>
          <w:sz w:val="21"/>
          <w:szCs w:val="21"/>
        </w:rPr>
        <w:t xml:space="preserve">.</w:t>
      </w:r>
      <w:r>
        <w:rPr>
          <w:rFonts w:ascii="Times New Roman" w:hAnsi="Times New Roman" w:cs="Times New Roman" w:hint="eastAsia"/>
          <w:sz w:val="21"/>
          <w:szCs w:val="21"/>
        </w:rPr>
        <w:t xml:space="preserve"> </w:t>
      </w:r>
      <w:r>
        <w:rPr>
          <w:rFonts w:ascii="Times New Roman" w:hAnsi="Times New Roman" w:cs="Times New Roman"/>
          <w:sz w:val="21"/>
          <w:szCs w:val="21"/>
        </w:rPr>
        <w:t xml:space="preserve">Consequently, </w:t>
      </w:r>
      <w:r>
        <w:rPr>
          <w:rFonts w:ascii="Times New Roman" w:hAnsi="Times New Roman" w:cs="Times New Roman"/>
          <w:sz w:val="21"/>
          <w:szCs w:val="21"/>
        </w:rPr>
        <w:t xml:space="preserve">various </w:t>
      </w:r>
      <w:r>
        <w:rPr>
          <w:rFonts w:ascii="Times New Roman" w:hAnsi="Times New Roman" w:cs="Times New Roman"/>
          <w:sz w:val="21"/>
          <w:szCs w:val="21"/>
        </w:rPr>
        <w:t xml:space="preserve">solar-to-hydrogen (STH) conversion </w:t>
      </w:r>
      <w:r>
        <w:rPr>
          <w:rFonts w:ascii="Times New Roman" w:hAnsi="Times New Roman" w:cs="Times New Roman"/>
          <w:sz w:val="21"/>
          <w:szCs w:val="21"/>
        </w:rPr>
        <w:t xml:space="preserve">approaches</w:t>
      </w:r>
      <w:r>
        <w:rPr>
          <w:rFonts w:ascii="Times New Roman" w:hAnsi="Times New Roman" w:cs="Times New Roman"/>
          <w:sz w:val="21"/>
          <w:szCs w:val="21"/>
        </w:rPr>
        <w:t xml:space="preserve"> </w:t>
      </w:r>
      <w:r>
        <w:rPr>
          <w:rFonts w:ascii="Times New Roman" w:hAnsi="Times New Roman" w:cs="Times New Roman" w:hint="eastAsia"/>
          <w:sz w:val="21"/>
          <w:szCs w:val="21"/>
        </w:rPr>
        <w:t xml:space="preserve">have been</w:t>
      </w:r>
      <w:r>
        <w:rPr>
          <w:rFonts w:ascii="Times New Roman" w:hAnsi="Times New Roman" w:cs="Times New Roman"/>
          <w:sz w:val="21"/>
          <w:szCs w:val="21"/>
        </w:rPr>
        <w:t xml:space="preserve"> developed, among which </w:t>
      </w:r>
      <w:r>
        <w:rPr>
          <w:rFonts w:ascii="Times New Roman" w:hAnsi="Times New Roman" w:cs="Times New Roman"/>
          <w:sz w:val="21"/>
          <w:szCs w:val="21"/>
        </w:rPr>
        <w:t xml:space="preserve">the </w:t>
      </w:r>
      <w:r>
        <w:rPr>
          <w:rFonts w:ascii="Times New Roman" w:hAnsi="Times New Roman" w:cs="Times New Roman"/>
          <w:sz w:val="21"/>
          <w:szCs w:val="21"/>
        </w:rPr>
        <w:t xml:space="preserve">particulate photocatalytic system</w:t>
      </w:r>
      <w:r>
        <w:rPr>
          <w:rFonts w:ascii="Times New Roman" w:hAnsi="Times New Roman" w:cs="Times New Roman"/>
          <w:sz w:val="21"/>
          <w:szCs w:val="21"/>
        </w:rPr>
        <w:t xml:space="preserve">s show</w:t>
      </w:r>
      <w:r>
        <w:rPr>
          <w:rFonts w:ascii="Times New Roman" w:hAnsi="Times New Roman" w:cs="Times New Roman"/>
          <w:sz w:val="21"/>
          <w:szCs w:val="21"/>
        </w:rPr>
        <w:t xml:space="preserve"> great potential for scale-up, meanwhile, such</w:t>
      </w:r>
      <w:r>
        <w:rPr>
          <w:rFonts w:ascii="Times New Roman" w:hAnsi="Times New Roman" w:cs="Times New Roman"/>
          <w:sz w:val="21"/>
          <w:szCs w:val="21"/>
        </w:rPr>
        <w:t xml:space="preserve"> </w:t>
      </w:r>
      <w:r>
        <w:rPr>
          <w:rFonts w:ascii="Times New Roman" w:hAnsi="Times New Roman" w:cs="Times New Roman"/>
          <w:sz w:val="21"/>
          <w:szCs w:val="21"/>
        </w:rPr>
        <w:t xml:space="preserve">powder-based system</w:t>
      </w:r>
      <w:r>
        <w:rPr>
          <w:rFonts w:ascii="Times New Roman" w:hAnsi="Times New Roman" w:cs="Times New Roman"/>
          <w:sz w:val="21"/>
          <w:szCs w:val="21"/>
        </w:rPr>
        <w:t xml:space="preserve">s </w:t>
      </w:r>
      <w:r>
        <w:rPr>
          <w:rFonts w:ascii="Times New Roman" w:hAnsi="Times New Roman" w:cs="Times New Roman" w:hint="eastAsia"/>
          <w:sz w:val="21"/>
          <w:szCs w:val="21"/>
        </w:rPr>
        <w:t xml:space="preserve">require</w:t>
      </w:r>
      <w:r>
        <w:rPr>
          <w:rFonts w:ascii="Times New Roman" w:hAnsi="Times New Roman" w:cs="Times New Roman"/>
          <w:sz w:val="21"/>
          <w:szCs w:val="21"/>
        </w:rPr>
        <w:t xml:space="preserve"> less complicated</w:t>
      </w:r>
      <w:r>
        <w:rPr>
          <w:rFonts w:ascii="Times New Roman" w:hAnsi="Times New Roman" w:cs="Times New Roman"/>
          <w:sz w:val="21"/>
          <w:szCs w:val="21"/>
        </w:rPr>
        <w:t xml:space="preserve"> set-up and</w:t>
      </w:r>
      <w:r>
        <w:rPr>
          <w:rFonts w:ascii="Times New Roman" w:hAnsi="Times New Roman" w:cs="Times New Roman"/>
          <w:sz w:val="21"/>
          <w:szCs w:val="21"/>
        </w:rPr>
        <w:t xml:space="preserve"> les</w:t>
      </w:r>
      <w:r>
        <w:rPr>
          <w:rFonts w:ascii="Times New Roman" w:hAnsi="Times New Roman" w:cs="Times New Roman"/>
          <w:sz w:val="21"/>
          <w:szCs w:val="21"/>
        </w:rPr>
        <w:t xml:space="preserve">s capital cost compared with </w:t>
      </w:r>
      <w:r>
        <w:rPr>
          <w:rFonts w:ascii="Times New Roman" w:hAnsi="Times New Roman" w:cs="Times New Roman"/>
          <w:sz w:val="21"/>
          <w:szCs w:val="21"/>
        </w:rPr>
        <w:t xml:space="preserve">photovoltaic-electrolysis (PV-E) or photoelectrochemical (PEC) systems</w:t>
      </w:r>
      <w:r>
        <w:rPr>
          <w:rFonts w:ascii="Times New Roman" w:hAnsi="Times New Roman" w:cs="Times New Roman"/>
          <w:sz w:val="21"/>
          <w:szCs w:val="21"/>
        </w:rPr>
        <w:fldChar w:fldCharType="begin"/>
      </w:r>
      <w:r>
        <w:rPr>
          <w:rFonts w:ascii="Times New Roman" w:hAnsi="Times New Roman" w:cs="Times New Roman"/>
          <w:sz w:val="21"/>
          <w:szCs w:val="21"/>
        </w:rPr>
        <w:instrText xml:space="preserve">ADDIN CSL_CITATIO</w:instrText>
      </w:r>
      <w:r>
        <w:rPr>
          <w:rFonts w:ascii="Times New Roman" w:hAnsi="Times New Roman" w:cs="Times New Roman"/>
          <w:sz w:val="21"/>
          <w:szCs w:val="21"/>
        </w:rPr>
        <w:instrText xml:space="preserve">N {"citationItems":[{"id":"ITEM-1","itemData":{"DOI":"10.1038/s41929-019-0242-6","ISSN":"25201158","abstract":"Photocatalytic water splitting using particulate semiconductor materials has been studied as a simple means of hydrogen production. However, ther</w:instrText>
      </w:r>
      <w:r>
        <w:rPr>
          <w:rFonts w:ascii="Times New Roman" w:hAnsi="Times New Roman" w:cs="Times New Roman"/>
          <w:sz w:val="21"/>
          <w:szCs w:val="21"/>
        </w:rPr>
        <w:instrText xml:space="preserve">e are still many obstacles to the development of complete, practical and renewable solar hydrogen production processes. This review discusses particulate photocatalyst systems intended for large-scale solar hydrogen production via water splitting, focusing</w:instrText>
      </w:r>
      <w:r>
        <w:rPr>
          <w:rFonts w:ascii="Times New Roman" w:hAnsi="Times New Roman" w:cs="Times New Roman"/>
          <w:sz w:val="21"/>
          <w:szCs w:val="21"/>
        </w:rPr>
        <w:instrText xml:space="preserve"> on their current status and potential impact. The cost and efficiency targets for solar-to-fuel conversion on a practical scale are also reviewed, based on the maximum allowable cost of solar hydrogen production systems, which has been estimated to be US$</w:instrText>
      </w:r>
      <w:r>
        <w:rPr>
          <w:rFonts w:ascii="Times New Roman" w:hAnsi="Times New Roman" w:cs="Times New Roman"/>
          <w:sz w:val="21"/>
          <w:szCs w:val="21"/>
        </w:rPr>
        <w:instrText xml:space="preserve">102 m–2, at most. Particulate photocatalyst material design principles are discussed, using efficient oxide photocatalysts as examples. Approaches to constructing photocatalytic reactors extensible to large areas are also introduced. Finally, challenges re</w:instrText>
      </w:r>
      <w:r>
        <w:rPr>
          <w:rFonts w:ascii="Times New Roman" w:hAnsi="Times New Roman" w:cs="Times New Roman"/>
          <w:sz w:val="21"/>
          <w:szCs w:val="21"/>
        </w:rPr>
        <w:instrText xml:space="preserve">lated to the development of efficient and inexpensive photocatalyst systems and potentially useful analytical methods are outlined.","author":[{"dropping-particle":"","family":"Hisatomi","given":"Takashi","non-dropping-particle":"","parse-names":false,"suf</w:instrText>
      </w:r>
      <w:r>
        <w:rPr>
          <w:rFonts w:ascii="Times New Roman" w:hAnsi="Times New Roman" w:cs="Times New Roman"/>
          <w:sz w:val="21"/>
          <w:szCs w:val="21"/>
        </w:rPr>
        <w:instrText xml:space="preserve">fix":""},{"dropping-particle":"","family":"Domen","given":"Kazunari","non-dropping-particle":"","parse-names":false,"suffix":""}],"container-title":"Nature Catalysis","id":"ITEM-1","issue":"5","issued":{"date-parts":[["2019"]]},"page":"387-399","publisher"</w:instrText>
      </w:r>
      <w:r>
        <w:rPr>
          <w:rFonts w:ascii="Times New Roman" w:hAnsi="Times New Roman" w:cs="Times New Roman"/>
          <w:sz w:val="21"/>
          <w:szCs w:val="21"/>
        </w:rPr>
        <w:instrText xml:space="preserve">:"Springer US","title":"Reaction systems for solar hydrogen production via water splitting with particulate semiconductor photocatalysts","type":"article-journal","volume":"2"},"uris":["http://www.mendeley.com/documents/?uuid=8961d20f-f969-4945-84c2-086a18</w:instrText>
      </w:r>
      <w:r>
        <w:rPr>
          <w:rFonts w:ascii="Times New Roman" w:hAnsi="Times New Roman" w:cs="Times New Roman"/>
          <w:sz w:val="21"/>
          <w:szCs w:val="21"/>
        </w:rPr>
        <w:instrText xml:space="preserve">8ca2dd"]}],"mendeley":{"formattedCitation":"&lt;sup&gt;4&lt;/sup&gt;","plainTextFormattedCitation":"4","previouslyFormattedCitation":"&lt;sup&gt;4&lt;/sup&gt;"},"properties":{"noteIndex":0},"schema":"https://github.com/citation-style-language/schema/raw/master/csl-citation.json"}</w:instrText>
      </w:r>
      <w:r>
        <w:rPr>
          <w:rFonts w:ascii="Times New Roman" w:hAnsi="Times New Roman" w:cs="Times New Roman"/>
          <w:sz w:val="21"/>
          <w:szCs w:val="21"/>
        </w:rPr>
        <w:fldChar w:fldCharType="separate"/>
      </w:r>
      <w:r>
        <w:rPr>
          <w:rFonts w:ascii="Times New Roman" w:hAnsi="Times New Roman" w:cs="Times New Roman"/>
          <w:sz w:val="21"/>
          <w:szCs w:val="21"/>
          <w:vertAlign w:val="superscript"/>
        </w:rPr>
        <w:t xml:space="preserve">4</w:t>
      </w:r>
      <w:r>
        <w:rPr>
          <w:rFonts w:ascii="Times New Roman" w:hAnsi="Times New Roman" w:cs="Times New Roman"/>
          <w:sz w:val="21"/>
          <w:szCs w:val="21"/>
        </w:rPr>
        <w:fldChar w:fldCharType="end"/>
      </w:r>
      <w:r>
        <w:rPr>
          <w:rFonts w:ascii="Times New Roman" w:hAnsi="Times New Roman" w:cs="Times New Roman"/>
          <w:sz w:val="21"/>
          <w:szCs w:val="21"/>
        </w:rPr>
        <w:t xml:space="preserve">.</w:t>
      </w:r>
      <w:r>
        <w:rPr>
          <w:rFonts w:ascii="Times New Roman" w:hAnsi="Times New Roman" w:cs="Times New Roman"/>
          <w:sz w:val="21"/>
          <w:szCs w:val="21"/>
        </w:rPr>
        <w:t xml:space="preserve"> However, the</w:t>
      </w:r>
      <w:r>
        <w:rPr>
          <w:rFonts w:ascii="Times New Roman" w:hAnsi="Times New Roman" w:cs="Times New Roman"/>
          <w:sz w:val="21"/>
          <w:szCs w:val="21"/>
        </w:rPr>
        <w:t xml:space="preserve"> </w:t>
      </w:r>
      <w:r>
        <w:rPr>
          <w:rFonts w:ascii="Times New Roman" w:hAnsi="Times New Roman" w:cs="Times New Roman"/>
          <w:sz w:val="21"/>
          <w:szCs w:val="21"/>
        </w:rPr>
        <w:t xml:space="preserve">STH efficienc</w:t>
      </w:r>
      <w:r>
        <w:rPr>
          <w:rFonts w:ascii="Times New Roman" w:hAnsi="Times New Roman" w:cs="Times New Roman"/>
          <w:sz w:val="21"/>
          <w:szCs w:val="21"/>
        </w:rPr>
        <w:t xml:space="preserve">ies of currently reported POWS systems still fall </w:t>
      </w:r>
      <w:r>
        <w:rPr>
          <w:rFonts w:ascii="Times New Roman" w:hAnsi="Times New Roman" w:cs="Times New Roman"/>
          <w:sz w:val="21"/>
          <w:szCs w:val="21"/>
        </w:rPr>
        <w:t xml:space="preserve">far behi</w:t>
      </w:r>
      <w:r>
        <w:rPr>
          <w:rFonts w:ascii="Times New Roman" w:hAnsi="Times New Roman" w:cs="Times New Roman"/>
          <w:sz w:val="21"/>
          <w:szCs w:val="21"/>
        </w:rPr>
        <w:t xml:space="preserve">nd the application requirement</w:t>
      </w:r>
      <w:r>
        <w:rPr>
          <w:rFonts w:ascii="Times New Roman" w:hAnsi="Times New Roman" w:cs="Times New Roman"/>
          <w:sz w:val="21"/>
          <w:szCs w:val="21"/>
        </w:rPr>
        <w:t xml:space="preserve">s due to the intrinsic </w:t>
      </w:r>
      <w:r>
        <w:rPr>
          <w:rFonts w:ascii="Times New Roman" w:hAnsi="Times New Roman" w:cs="Times New Roman"/>
          <w:sz w:val="21"/>
          <w:szCs w:val="21"/>
        </w:rPr>
        <w:t xml:space="preserve">slow generation but </w:t>
      </w:r>
      <w:r>
        <w:rPr>
          <w:rFonts w:ascii="Times New Roman" w:hAnsi="Times New Roman" w:cs="Times New Roman"/>
          <w:sz w:val="21"/>
          <w:szCs w:val="21"/>
        </w:rPr>
        <w:t xml:space="preserve">fast recombination of </w:t>
      </w:r>
      <w:r>
        <w:rPr>
          <w:rFonts w:ascii="Times New Roman" w:hAnsi="Times New Roman" w:cs="Times New Roman"/>
          <w:sz w:val="21"/>
          <w:szCs w:val="21"/>
        </w:rPr>
        <w:t xml:space="preserve">photo-generated</w:t>
      </w:r>
      <w:r>
        <w:rPr>
          <w:rFonts w:ascii="Times New Roman" w:hAnsi="Times New Roman" w:cs="Times New Roman"/>
          <w:sz w:val="21"/>
          <w:szCs w:val="21"/>
        </w:rPr>
        <w:t xml:space="preserve"> charge carriers of the </w:t>
      </w:r>
      <w:r>
        <w:rPr>
          <w:rFonts w:ascii="Times New Roman" w:hAnsi="Times New Roman" w:cs="Times New Roman"/>
          <w:sz w:val="21"/>
          <w:szCs w:val="21"/>
        </w:rPr>
        <w:t xml:space="preserve">semiconductor</w:t>
      </w:r>
      <w:r>
        <w:rPr>
          <w:rFonts w:ascii="Times New Roman" w:hAnsi="Times New Roman" w:cs="Times New Roman"/>
          <w:sz w:val="21"/>
          <w:szCs w:val="21"/>
        </w:rPr>
        <w:t xml:space="preserve"> materials used</w:t>
      </w:r>
      <w:r>
        <w:rPr>
          <w:rFonts w:ascii="Times New Roman" w:hAnsi="Times New Roman" w:cs="Times New Roman" w:hint="eastAsia"/>
          <w:sz w:val="21"/>
          <w:szCs w:val="21"/>
        </w:rPr>
        <w:t xml:space="preserve">.</w:t>
      </w:r>
      <w:r>
        <w:rPr>
          <w:rFonts w:ascii="Times New Roman" w:hAnsi="Times New Roman" w:cs="Times New Roman"/>
          <w:sz w:val="21"/>
          <w:szCs w:val="21"/>
        </w:rPr>
        <w:t xml:space="preserve"> </w:t>
      </w:r>
      <w:r>
        <w:rPr>
          <w:rFonts w:ascii="Times New Roman" w:hAnsi="Times New Roman" w:cs="Times New Roman"/>
          <w:sz w:val="21"/>
          <w:szCs w:val="21"/>
        </w:rPr>
        <w:t xml:space="preserve">It should be noted that the STH efficiency is related to the bandgap of photocatalysts and the quantum efficiencies (QEs). Assuming the QEs of 100</w:t>
      </w:r>
      <w:r>
        <w:rPr>
          <w:rFonts w:ascii="Times New Roman" w:hAnsi="Times New Roman" w:cs="Times New Roman"/>
          <w:sz w:val="21"/>
          <w:szCs w:val="21"/>
        </w:rPr>
        <w:t xml:space="preserve"> </w:t>
      </w:r>
      <w:r>
        <w:rPr>
          <w:rFonts w:ascii="Times New Roman" w:hAnsi="Times New Roman" w:cs="Times New Roman"/>
          <w:sz w:val="21"/>
          <w:szCs w:val="21"/>
        </w:rPr>
        <w:t xml:space="preserve">%, the theoretical limit of a semiconductor with a bandgap of 2.0 eV is 17.9%; and narrower bandgap of 1.23 eV can result in a higher theoretical limit of ca. 45%, assuming all the absorbed photons are converted to hydrogen</w:t>
      </w:r>
      <w:r>
        <w:rPr>
          <w:rFonts w:ascii="Times New Roman" w:hAnsi="Times New Roman" w:cs="Times New Roman"/>
          <w:sz w:val="21"/>
          <w:szCs w:val="21"/>
        </w:rPr>
        <w:fldChar w:fldCharType="begin"/>
      </w:r>
      <w:r>
        <w:rPr>
          <w:rFonts w:ascii="Times New Roman" w:hAnsi="Times New Roman" w:cs="Times New Roman"/>
          <w:sz w:val="21"/>
          <w:szCs w:val="21"/>
        </w:rPr>
        <w:instrText xml:space="preserve">ADDIN CSL_CITATION {"citationItems":[{"id":"ITEM-1","itemData":{"DOI":"10.1039/c8ee01828f","ISSN":"17545706","abstract":"Tandem Z-scheme solar water splitting devices composed of two light-ab</w:instrText>
      </w:r>
      <w:r>
        <w:rPr>
          <w:rFonts w:ascii="Times New Roman" w:hAnsi="Times New Roman" w:cs="Times New Roman"/>
          <w:sz w:val="21"/>
          <w:szCs w:val="21"/>
        </w:rPr>
        <w:instrText xml:space="preserve">sorbers that are connected electrochemically by a soluble redox shuttle constitute a promising technology for cost-effective solar hydrogen production. Herein, efficiency limits of these devices are modeled by combining the detailed-balance model of the li</w:instrText>
      </w:r>
      <w:r>
        <w:rPr>
          <w:rFonts w:ascii="Times New Roman" w:hAnsi="Times New Roman" w:cs="Times New Roman"/>
          <w:sz w:val="21"/>
          <w:szCs w:val="21"/>
        </w:rPr>
        <w:instrText xml:space="preserve">ght-absorbers with Butler-Volmer electron-transfer kinetics. The impacts of the redox shuttle thermodynamic potential, light-absorber bandgaps, and electrocatalytic parameters on the solar-to-hydrogen conversion (STH) efficiency are modeled. We report that</w:instrText>
      </w:r>
      <w:r>
        <w:rPr>
          <w:rFonts w:ascii="Times New Roman" w:hAnsi="Times New Roman" w:cs="Times New Roman"/>
          <w:sz w:val="21"/>
          <w:szCs w:val="21"/>
        </w:rPr>
        <w:instrText xml:space="preserve"> the thermodynamic potential of the redox shuttle with respect to the hydrogen and oxygen evolution potentials has a direct effect on both the STH efficiency and the optimal tandem light-absorber bandgaps needed to achieve the maximum possible STH efficien</w:instrText>
      </w:r>
      <w:r>
        <w:rPr>
          <w:rFonts w:ascii="Times New Roman" w:hAnsi="Times New Roman" w:cs="Times New Roman"/>
          <w:sz w:val="21"/>
          <w:szCs w:val="21"/>
        </w:rPr>
        <w:instrText xml:space="preserve">cy. At 1 sun illumination and assuming ideal and optimally selective electrocatalytic parameters, the STH efficiency varies from a minimum of 21%, for a redox shuttle potential of 0 V vs. the reversible hydrogen electrode (RHE), to a maximum of 34%, for a </w:instrText>
      </w:r>
      <w:r>
        <w:rPr>
          <w:rFonts w:ascii="Times New Roman" w:hAnsi="Times New Roman" w:cs="Times New Roman"/>
          <w:sz w:val="21"/>
          <w:szCs w:val="21"/>
        </w:rPr>
        <w:instrText xml:space="preserve">redox shuttle potential of either 0.36 V or 1.06 V vs. RHE. To attain the maximum possible STH efficiency of 34%, the light-absorber bandgaps must be 1.53 eV and 0.75 eV, yet the optimal redox shuttle potential depends on whether the hydrogen-evolving or o</w:instrText>
      </w:r>
      <w:r>
        <w:rPr>
          <w:rFonts w:ascii="Times New Roman" w:hAnsi="Times New Roman" w:cs="Times New Roman"/>
          <w:sz w:val="21"/>
          <w:szCs w:val="21"/>
        </w:rPr>
        <w:instrText xml:space="preserve">xygen-evolving light-absorber has the larger bandgap. Results also underscore the importance of optimizing the absorptance of the top light-absorber, which enables large STH efficiencies to be achieved with a wider range of bandgap combinations. Moreover, </w:instrText>
      </w:r>
      <w:r>
        <w:rPr>
          <w:rFonts w:ascii="Times New Roman" w:hAnsi="Times New Roman" w:cs="Times New Roman"/>
          <w:sz w:val="21"/>
          <w:szCs w:val="21"/>
        </w:rPr>
        <w:instrText xml:space="preserve">given the large overpotentials for the oxygen evolution reaction and reasonably low overpotentials for most redox shuttle reactions, the tandem design is more efficient than a single light-absorber design even when the potential of the redox shuttle exceed</w:instrText>
      </w:r>
      <w:r>
        <w:rPr>
          <w:rFonts w:ascii="Times New Roman" w:hAnsi="Times New Roman" w:cs="Times New Roman"/>
          <w:sz w:val="21"/>
          <w:szCs w:val="21"/>
        </w:rPr>
        <w:instrText xml:space="preserve">s 1.23 V vs. RHE. When the exchange current density of the redox shuttle reactions is as low as 10 -5 mA cm -2 , STH efficiencies as large as 22% are still achievable as long as selective catalysis and optimal redox shuttle potential are assumed, suggestin</w:instrText>
      </w:r>
      <w:r>
        <w:rPr>
          <w:rFonts w:ascii="Times New Roman" w:hAnsi="Times New Roman" w:cs="Times New Roman"/>
          <w:sz w:val="21"/>
          <w:szCs w:val="21"/>
        </w:rPr>
        <w:instrText xml:space="preserve">g that even slow redox shuttle reactions may not limit the practicality of these devices.","author":[{"dropping-particle":"","family":"Keene","given":"Sam","non-dropping-particle":"","parse-names":false,"suffix":""},{"dropping-particle":"","family":"Bala C</w:instrText>
      </w:r>
      <w:r>
        <w:rPr>
          <w:rFonts w:ascii="Times New Roman" w:hAnsi="Times New Roman" w:cs="Times New Roman"/>
          <w:sz w:val="21"/>
          <w:szCs w:val="21"/>
        </w:rPr>
        <w:instrText xml:space="preserve">handran","given":"Rohini","non-dropping-particle":"","parse-names":false,"suffix":""},{"dropping-particle":"","family":"Ardo","given":"Shane","non-dropping-particle":"","parse-names":false,"suffix":""}],"container-title":"Energy and Environmental Science",</w:instrText>
      </w:r>
      <w:r>
        <w:rPr>
          <w:rFonts w:ascii="Times New Roman" w:hAnsi="Times New Roman" w:cs="Times New Roman"/>
          <w:sz w:val="21"/>
          <w:szCs w:val="21"/>
        </w:rPr>
        <w:instrText xml:space="preserve">"id":"ITEM-1","issue":"1","issued":{"date-parts":[["2019"]]},"page":"261-272","publisher":"Royal Society of Chemistry","title":"Calculations of theoretical efficiencies for electrochemically-mediated tandem solar water splitting as a function of bandgap en</w:instrText>
      </w:r>
      <w:r>
        <w:rPr>
          <w:rFonts w:ascii="Times New Roman" w:hAnsi="Times New Roman" w:cs="Times New Roman"/>
          <w:sz w:val="21"/>
          <w:szCs w:val="21"/>
        </w:rPr>
        <w:instrText xml:space="preserve">ergies and redox shuttle potential","type":"article-journal","volume":"12"},"uris":["http://www.mendeley.com/documents/?uuid=b82404e8-2256-4d38-a290-6a893eeb84d4"]},{"id":"ITEM-2","itemData":{"DOI":"10.1021/acs.chemrev.8b00584","ISSN":"15206890","PMID":"30</w:instrText>
      </w:r>
      <w:r>
        <w:rPr>
          <w:rFonts w:ascii="Times New Roman" w:hAnsi="Times New Roman" w:cs="Times New Roman"/>
          <w:sz w:val="21"/>
          <w:szCs w:val="21"/>
        </w:rPr>
        <w:instrText xml:space="preserve">875200","abstract":"Photoelectrochemical (PEC) water splitting is a promising approach for solar-driven hydrogen production with zero emissions, and it has been intensively studied over the past decades. However, the solar-to-hydrogen (STH) efficiencies of</w:instrText>
      </w:r>
      <w:r>
        <w:rPr>
          <w:rFonts w:ascii="Times New Roman" w:hAnsi="Times New Roman" w:cs="Times New Roman"/>
          <w:sz w:val="21"/>
          <w:szCs w:val="21"/>
        </w:rPr>
        <w:instrText xml:space="preserve"> the current PEC systems are still far from the 10% target needed for practical application. The development of efficient photoelectrodes in PEC systems holds the key to achieving high STH efficiencies. In recent years, crystal facet engineering has emerge</w:instrText>
      </w:r>
      <w:r>
        <w:rPr>
          <w:rFonts w:ascii="Times New Roman" w:hAnsi="Times New Roman" w:cs="Times New Roman"/>
          <w:sz w:val="21"/>
          <w:szCs w:val="21"/>
        </w:rPr>
        <w:instrText xml:space="preserve">d as an important strategy in designing efficient photoelectrodes for PEC water splitting, which has yet to be comprehensively reviewed and is the main focus of this article. After the Introduction, the second section of this review concisely introduces th</w:instrText>
      </w:r>
      <w:r>
        <w:rPr>
          <w:rFonts w:ascii="Times New Roman" w:hAnsi="Times New Roman" w:cs="Times New Roman"/>
          <w:sz w:val="21"/>
          <w:szCs w:val="21"/>
        </w:rPr>
        <w:instrText xml:space="preserve">e mechanisms of crystal facet engineering. The subsequent section provides a snapshot of the unique facet-dependent properties of some semiconductor crystals including surface electronic structures, redox reaction sites, surface built-in electric fields, m</w:instrText>
      </w:r>
      <w:r>
        <w:rPr>
          <w:rFonts w:ascii="Times New Roman" w:hAnsi="Times New Roman" w:cs="Times New Roman"/>
          <w:sz w:val="21"/>
          <w:szCs w:val="21"/>
        </w:rPr>
        <w:instrText xml:space="preserve">olecular adsorption, photoreaction activity, photocorrosion resistance, and electrical conductivity. Then, the methods for fabricating photoelectrodes with faceted semiconductor crystals are reviewed, with a focus on the preparation processes. In addition,</w:instrText>
      </w:r>
      <w:r>
        <w:rPr>
          <w:rFonts w:ascii="Times New Roman" w:hAnsi="Times New Roman" w:cs="Times New Roman"/>
          <w:sz w:val="21"/>
          <w:szCs w:val="21"/>
        </w:rPr>
        <w:instrText xml:space="preserve"> the notable advantages of the crystal facet engineering of photoelectrodes in terms of light harvesting, charge separation and transfer, and surface reactions are critically discussed. This is followed by a systematic overview of the modification strategi</w:instrText>
      </w:r>
      <w:r>
        <w:rPr>
          <w:rFonts w:ascii="Times New Roman" w:hAnsi="Times New Roman" w:cs="Times New Roman"/>
          <w:sz w:val="21"/>
          <w:szCs w:val="21"/>
        </w:rPr>
        <w:instrText xml:space="preserve">es of faceted photoelectrodes to further enhance the PEC performance. The last section summarizes the major challenges and some invigorating perspectives for future research on crystal facet engineered photoelectrodes, which are believed to play a vital ro</w:instrText>
      </w:r>
      <w:r>
        <w:rPr>
          <w:rFonts w:ascii="Times New Roman" w:hAnsi="Times New Roman" w:cs="Times New Roman"/>
          <w:sz w:val="21"/>
          <w:szCs w:val="21"/>
        </w:rPr>
        <w:instrText xml:space="preserve">le in promoting the development of this important research field.","author":[{"dropping-particle":"","family":"Wang","given":"Songcan","non-dropping-particle":"","parse-names":false,"suffix":""},{"dropping-particle":"","family":"Liu","given":"Gang","non-dr</w:instrText>
      </w:r>
      <w:r>
        <w:rPr>
          <w:rFonts w:ascii="Times New Roman" w:hAnsi="Times New Roman" w:cs="Times New Roman"/>
          <w:sz w:val="21"/>
          <w:szCs w:val="21"/>
        </w:rPr>
        <w:instrText xml:space="preserve">opping-particle":"","parse-names":false,"suffix":""},{"dropping-particle":"","family":"Wang","given":"Lianzhou","non-dropping-particle":"","parse-names":false,"suffix":""}],"container-title":"Chemical Reviews","id":"ITEM-2","issue":"8","issued":{"date-part</w:instrText>
      </w:r>
      <w:r>
        <w:rPr>
          <w:rFonts w:ascii="Times New Roman" w:hAnsi="Times New Roman" w:cs="Times New Roman"/>
          <w:sz w:val="21"/>
          <w:szCs w:val="21"/>
        </w:rPr>
        <w:instrText xml:space="preserve">s":[["2019"]]},"page":"5192-5247","title":"Crystal Facet Engineering of Photoelectrodes for Photoelectrochemical Water Splitting","type":"article-journal","volume":"119"},"uris":["http://www.mendeley.com/documents/?uuid=6bb5e075-f0ea-4ff1-92f4-6972ead46a32</w:instrText>
      </w:r>
      <w:r>
        <w:rPr>
          <w:rFonts w:ascii="Times New Roman" w:hAnsi="Times New Roman" w:cs="Times New Roman"/>
          <w:sz w:val="21"/>
          <w:szCs w:val="21"/>
        </w:rPr>
        <w:instrText xml:space="preserve">"]}],"mendeley":{"formattedCitation":"&lt;sup&gt;5,6&lt;/sup&gt;","plainTextFormattedCitation":"5,6","previouslyFormattedCitation":"&lt;sup&gt;5,6&lt;/sup&gt;"},"properties":{"noteIndex":0},"schema":"https://github.com/citation-style-language/schema/raw/master/csl-citation.json"}</w:instrText>
      </w:r>
      <w:r>
        <w:rPr>
          <w:rFonts w:ascii="Times New Roman" w:hAnsi="Times New Roman" w:cs="Times New Roman"/>
          <w:sz w:val="21"/>
          <w:szCs w:val="21"/>
        </w:rPr>
        <w:fldChar w:fldCharType="separate"/>
      </w:r>
      <w:r>
        <w:rPr>
          <w:rFonts w:ascii="Times New Roman" w:hAnsi="Times New Roman" w:cs="Times New Roman"/>
          <w:sz w:val="21"/>
          <w:szCs w:val="21"/>
          <w:vertAlign w:val="superscript"/>
        </w:rPr>
        <w:t xml:space="preserve">5,6</w:t>
      </w:r>
      <w:r>
        <w:rPr>
          <w:rFonts w:ascii="Times New Roman" w:hAnsi="Times New Roman" w:cs="Times New Roman"/>
          <w:sz w:val="21"/>
          <w:szCs w:val="21"/>
        </w:rPr>
        <w:fldChar w:fldCharType="end"/>
      </w:r>
      <w:r>
        <w:rPr>
          <w:rFonts w:ascii="Times New Roman" w:hAnsi="Times New Roman" w:cs="Times New Roman"/>
          <w:sz w:val="21"/>
          <w:szCs w:val="21"/>
        </w:rPr>
        <w:t xml:space="preserve">. </w:t>
      </w:r>
      <w:r>
        <w:rPr>
          <w:rFonts w:ascii="Times New Roman" w:hAnsi="Times New Roman" w:cs="Times New Roman"/>
          <w:sz w:val="21"/>
          <w:szCs w:val="21"/>
        </w:rPr>
        <w:t xml:space="preserve">Qian et al. developed a Z-scheme POWS system </w:t>
      </w:r>
      <w:r>
        <w:rPr>
          <w:rFonts w:ascii="Times New Roman" w:hAnsi="Times New Roman" w:cs="Times New Roman"/>
          <w:sz w:val="21"/>
          <w:szCs w:val="21"/>
        </w:rPr>
        <w:t xml:space="preserve">showing</w:t>
      </w:r>
      <w:r>
        <w:rPr>
          <w:rFonts w:ascii="Times New Roman" w:hAnsi="Times New Roman" w:cs="Times New Roman"/>
          <w:sz w:val="21"/>
          <w:szCs w:val="21"/>
        </w:rPr>
        <w:t xml:space="preserve"> a STH efficiency of 1.1%</w:t>
      </w:r>
      <w:r>
        <w:rPr>
          <w:rFonts w:ascii="Times New Roman" w:hAnsi="Times New Roman" w:cs="Times New Roman"/>
          <w:sz w:val="21"/>
          <w:szCs w:val="21"/>
        </w:rPr>
        <w:fldChar w:fldCharType="begin"/>
      </w:r>
      <w:r>
        <w:rPr>
          <w:rFonts w:ascii="Times New Roman" w:hAnsi="Times New Roman" w:cs="Times New Roman"/>
          <w:sz w:val="21"/>
          <w:szCs w:val="21"/>
        </w:rPr>
        <w:instrText xml:space="preserve">ADDIN CSL_CITATION {"citationItems":[{"id":"ITEM-1","itemData":{"DOI"</w:instrText>
      </w:r>
      <w:r>
        <w:rPr>
          <w:rFonts w:ascii="Times New Roman" w:hAnsi="Times New Roman" w:cs="Times New Roman"/>
          <w:sz w:val="21"/>
          <w:szCs w:val="21"/>
        </w:rPr>
        <w:instrText xml:space="preserve">:"10.1038/nmat4589","ISSN":"14764660","abstract":"Photocatalytic water splitting using particulate semiconductors is a potentially scalable and economically feasible technology for converting solar energy into hydrogen. Z-scheme systems based on two-step p</w:instrText>
      </w:r>
      <w:r>
        <w:rPr>
          <w:rFonts w:ascii="Times New Roman" w:hAnsi="Times New Roman" w:cs="Times New Roman"/>
          <w:sz w:val="21"/>
          <w:szCs w:val="21"/>
        </w:rPr>
        <w:instrText xml:space="preserve">hotoexcitation of a hydrogen evolution photocatalyst (HEP) and an oxygen evolution photocatalyst (OEP) are suited to harvesting of sunlight because semiconductors with either water reduction or oxidation activity can be applied to the water splitting react</w:instrText>
      </w:r>
      <w:r>
        <w:rPr>
          <w:rFonts w:ascii="Times New Roman" w:hAnsi="Times New Roman" w:cs="Times New Roman"/>
          <w:sz w:val="21"/>
          <w:szCs w:val="21"/>
        </w:rPr>
        <w:instrText xml:space="preserve">ion. However, it is challenging to achieve efficient transfer of electrons between HEP and OEP particles. Here, we present photocatalyst sheets based on La-and Rh-codoped SrTiO3 (SrTiO3:La, Rh; ref.8) and Mo-doped BiVO4 (BiVO4:Mo) powders embedded into a g</w:instrText>
      </w:r>
      <w:r>
        <w:rPr>
          <w:rFonts w:ascii="Times New Roman" w:hAnsi="Times New Roman" w:cs="Times New Roman"/>
          <w:sz w:val="21"/>
          <w:szCs w:val="21"/>
        </w:rPr>
        <w:instrText xml:space="preserve">old (Au) layer. Enhancement of the electron relay by annealing and suppression of undesirable reactions through surface modification allow pure water (pH 6.8) splitting with a solar-to-hydrogen energy conversion efficiency of 1.1% and an apparent quantum y</w:instrText>
      </w:r>
      <w:r>
        <w:rPr>
          <w:rFonts w:ascii="Times New Roman" w:hAnsi="Times New Roman" w:cs="Times New Roman"/>
          <w:sz w:val="21"/>
          <w:szCs w:val="21"/>
        </w:rPr>
        <w:instrText xml:space="preserve">ield of over 30% at 419 nm. The photocatalyst sheet design enables efficient and scalable water splitting using particulate semiconductors.","author":[{"dropping-particle":"","family":"Wang","given":"Qian","non-dropping-particle":"","parse-names":false,"su</w:instrText>
      </w:r>
      <w:r>
        <w:rPr>
          <w:rFonts w:ascii="Times New Roman" w:hAnsi="Times New Roman" w:cs="Times New Roman"/>
          <w:sz w:val="21"/>
          <w:szCs w:val="21"/>
        </w:rPr>
        <w:instrText xml:space="preserve">ffix":""},{"dropping-particle":"","family":"Hisatomi","given":"Takashi","non-dropping-particle":"","parse-names":false,"suffix":""},{"dropping-particle":"","family":"Jia","given":"Qingxin","non-dropping-particle":"","parse-names":false,"suffix":""},{"dropp</w:instrText>
      </w:r>
      <w:r>
        <w:rPr>
          <w:rFonts w:ascii="Times New Roman" w:hAnsi="Times New Roman" w:cs="Times New Roman"/>
          <w:sz w:val="21"/>
          <w:szCs w:val="21"/>
        </w:rPr>
        <w:instrText xml:space="preserve">ing-particle":"","family":"Tokudome","given":"Hiromasa","non-dropping-particle":"","parse-names":false,"suffix":""},{"dropping-particle":"","family":"Zhong","given":"Miao","non-dropping-particle":"","parse-names":false,"suffix":""},{"dropping-particle":"",</w:instrText>
      </w:r>
      <w:r>
        <w:rPr>
          <w:rFonts w:ascii="Times New Roman" w:hAnsi="Times New Roman" w:cs="Times New Roman"/>
          <w:sz w:val="21"/>
          <w:szCs w:val="21"/>
        </w:rPr>
        <w:instrText xml:space="preserve">"family":"Wang","given":"Chizhong","non-dropping-particle":"","parse-names":false,"suffix":""},{"dropping-particle":"","family":"Pan","given":"Zhenhua","non-dropping-particle":"","parse-names":false,"suffix":""},{"dropping-particle":"","family":"Takata","g</w:instrText>
      </w:r>
      <w:r>
        <w:rPr>
          <w:rFonts w:ascii="Times New Roman" w:hAnsi="Times New Roman" w:cs="Times New Roman"/>
          <w:sz w:val="21"/>
          <w:szCs w:val="21"/>
        </w:rPr>
        <w:instrText xml:space="preserve">iven":"Tsuyoshi","non-dropping-particle":"","parse-names":false,"suffix":""},{"dropping-particle":"","family":"Nakabayashi","given":"Mamiko","non-dropping-particle":"","parse-names":false,"suffix":""},{"dropping-particle":"","family":"Shibata","given":"Nao</w:instrText>
      </w:r>
      <w:r>
        <w:rPr>
          <w:rFonts w:ascii="Times New Roman" w:hAnsi="Times New Roman" w:cs="Times New Roman"/>
          <w:sz w:val="21"/>
          <w:szCs w:val="21"/>
        </w:rPr>
        <w:instrText xml:space="preserve">ya","non-dropping-particle":"","parse-names":false,"suffix":""},{"dropping-particle":"","family":"Li","given":"Yanbo","non-dropping-particle":"","parse-names":false,"suffix":""},{"dropping-particle":"","family":"Sharp","given":"Ian D.","non-dropping-partic</w:instrText>
      </w:r>
      <w:r>
        <w:rPr>
          <w:rFonts w:ascii="Times New Roman" w:hAnsi="Times New Roman" w:cs="Times New Roman"/>
          <w:sz w:val="21"/>
          <w:szCs w:val="21"/>
        </w:rPr>
        <w:instrText xml:space="preserve">le":"","parse-names":false,"suffix":""},{"dropping-particle":"","family":"Kudo","given":"Akihiko","non-dropping-particle":"","parse-names":false,"suffix":""},{"dropping-particle":"","family":"Yamada","given":"Taro","non-dropping-particle":"","parse-names":</w:instrText>
      </w:r>
      <w:r>
        <w:rPr>
          <w:rFonts w:ascii="Times New Roman" w:hAnsi="Times New Roman" w:cs="Times New Roman"/>
          <w:sz w:val="21"/>
          <w:szCs w:val="21"/>
        </w:rPr>
        <w:instrText xml:space="preserve">false,"suffix":""},{"dropping-particle":"","family":"Domen","given":"Kazunari","non-dropping-particle":"","parse-names":false,"suffix":""}],"container-title":"Nature Materials","id":"ITEM-1","issue":"6","issued":{"date-parts":[["2016"]]},"page":"611-615","</w:instrText>
      </w:r>
      <w:r>
        <w:rPr>
          <w:rFonts w:ascii="Times New Roman" w:hAnsi="Times New Roman" w:cs="Times New Roman"/>
          <w:sz w:val="21"/>
          <w:szCs w:val="21"/>
        </w:rPr>
        <w:instrText xml:space="preserve">title":"Scalable water splitting on particulate photocatalyst sheets with a solar-to-hydrogen energy conversion efficiency exceeding 1%","type":"article-journal","volume":"15"},"uris":["http://www.mendeley.com/documents/?uuid=cd3b9427-7c62-4b4c-9899-2fcdc7</w:instrText>
      </w:r>
      <w:r>
        <w:rPr>
          <w:rFonts w:ascii="Times New Roman" w:hAnsi="Times New Roman" w:cs="Times New Roman"/>
          <w:sz w:val="21"/>
          <w:szCs w:val="21"/>
        </w:rPr>
        <w:instrText xml:space="preserve">562652"]}],"mendeley":{"formattedCitation":"&lt;sup&gt;7&lt;/sup&gt;","plainTextFormattedCitation":"7","previouslyFormattedCitation":"&lt;sup&gt;7&lt;/sup&gt;"},"properties":{"noteIndex":0},"schema":"https://github.com/citation-style-language/schema/raw/master/csl-citation.json"}</w:instrText>
      </w:r>
      <w:r>
        <w:rPr>
          <w:rFonts w:ascii="Times New Roman" w:hAnsi="Times New Roman" w:cs="Times New Roman"/>
          <w:sz w:val="21"/>
          <w:szCs w:val="21"/>
        </w:rPr>
        <w:fldChar w:fldCharType="separate"/>
      </w:r>
      <w:r>
        <w:rPr>
          <w:rFonts w:ascii="Times New Roman" w:hAnsi="Times New Roman" w:cs="Times New Roman"/>
          <w:sz w:val="21"/>
          <w:szCs w:val="21"/>
          <w:vertAlign w:val="superscript"/>
        </w:rPr>
        <w:t xml:space="preserve">7</w:t>
      </w:r>
      <w:r>
        <w:rPr>
          <w:rFonts w:ascii="Times New Roman" w:hAnsi="Times New Roman" w:cs="Times New Roman"/>
          <w:sz w:val="21"/>
          <w:szCs w:val="21"/>
        </w:rPr>
        <w:fldChar w:fldCharType="end"/>
      </w:r>
      <w:r>
        <w:rPr>
          <w:rFonts w:ascii="Times New Roman" w:hAnsi="Times New Roman" w:cs="Times New Roman" w:hint="eastAsia"/>
          <w:sz w:val="21"/>
          <w:szCs w:val="21"/>
        </w:rPr>
        <w:t xml:space="preserve">,</w:t>
      </w:r>
      <w:r>
        <w:rPr>
          <w:rFonts w:ascii="Times New Roman" w:hAnsi="Times New Roman" w:cs="Times New Roman"/>
          <w:sz w:val="21"/>
          <w:szCs w:val="21"/>
        </w:rPr>
        <w:t xml:space="preserve"> and </w:t>
      </w:r>
      <w:r>
        <w:rPr>
          <w:rFonts w:ascii="Times New Roman" w:hAnsi="Times New Roman" w:cs="Times New Roman"/>
          <w:sz w:val="21"/>
          <w:szCs w:val="21"/>
        </w:rPr>
        <w:t xml:space="preserve">recent studies pushed the value to around 5%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ADDIN CSL_CITATION {"citationItems":[{"id":"ITEM-1","itemData":{"DOI":"10.1038/nnano.2013.272","ISSN":"17483395","abstract":"The generation of hydrogen from water using sunlight could potentially form the basis of a clean and renewable source of energy. Va</w:instrText>
      </w:r>
      <w:r>
        <w:rPr>
          <w:rFonts w:ascii="Times New Roman" w:hAnsi="Times New Roman" w:cs="Times New Roman"/>
          <w:sz w:val="21"/>
          <w:szCs w:val="21"/>
        </w:rPr>
        <w:instrText xml:space="preserve">rious water-splitting methods have been investigated previously, but the use of photocatalysts to split water into stoichiometric amounts of H2 and O2 (overall water splitting) without the use of external bias or sacrificial reagents is of particular inter</w:instrText>
      </w:r>
      <w:r>
        <w:rPr>
          <w:rFonts w:ascii="Times New Roman" w:hAnsi="Times New Roman" w:cs="Times New Roman"/>
          <w:sz w:val="21"/>
          <w:szCs w:val="21"/>
        </w:rPr>
        <w:instrText xml:space="preserve">est because of its simplicity and potential low cost of operation. However, despite progress in the past decade, semiconductor water-splitting photocatalysts (such as (Ga1-xZnx)(N 1-xOx)) do not exhibit good activity beyond 440 nm (refs 1,2,9) and water-sp</w:instrText>
      </w:r>
      <w:r>
        <w:rPr>
          <w:rFonts w:ascii="Times New Roman" w:hAnsi="Times New Roman" w:cs="Times New Roman"/>
          <w:sz w:val="21"/>
          <w:szCs w:val="21"/>
        </w:rPr>
        <w:instrText xml:space="preserve">litting devices that can harvest visible light typically have a low solar-to-hydrogen efficiency of around 0.1%. Here we show that cobalt(II) oxide (CoO) nanoparticles can carry out overall water splitting with a solar-to-hydrogen efficiency of around 5%. </w:instrText>
      </w:r>
      <w:r>
        <w:rPr>
          <w:rFonts w:ascii="Times New Roman" w:hAnsi="Times New Roman" w:cs="Times New Roman"/>
          <w:sz w:val="21"/>
          <w:szCs w:val="21"/>
        </w:rPr>
        <w:instrText xml:space="preserve">The photocatalysts were synthesized from non-active CoO micropowders using two distinct methods (femtosecond laser ablation and mechanical ball milling), and the CoO nanoparticles that result can decompose pure water under visible-light irradiation without</w:instrText>
      </w:r>
      <w:r>
        <w:rPr>
          <w:rFonts w:ascii="Times New Roman" w:hAnsi="Times New Roman" w:cs="Times New Roman"/>
          <w:sz w:val="21"/>
          <w:szCs w:val="21"/>
        </w:rPr>
        <w:instrText xml:space="preserve"> any co-catalysts or sacrificial reagents. Using electrochemical impedance spectroscopy, we show that the high photocatalytic activity of the nanoparticles arises from a significant shift in the position of the band edge of the material. © 2014 Macmillan P</w:instrText>
      </w:r>
      <w:r>
        <w:rPr>
          <w:rFonts w:ascii="Times New Roman" w:hAnsi="Times New Roman" w:cs="Times New Roman"/>
          <w:sz w:val="21"/>
          <w:szCs w:val="21"/>
        </w:rPr>
        <w:instrText xml:space="preserve">ublishers Limited.","author":[{"dropping-particle":"","family":"Liao","given":"Longb","non-dropping-particle":"","parse-names":false,"suffix":""},{"dropping-particle":"","family":"Zhang","given":"Qiuhui","non-dropping-particle":"","parse-names":false,"suff</w:instrText>
      </w:r>
      <w:r>
        <w:rPr>
          <w:rFonts w:ascii="Times New Roman" w:hAnsi="Times New Roman" w:cs="Times New Roman"/>
          <w:sz w:val="21"/>
          <w:szCs w:val="21"/>
        </w:rPr>
        <w:instrText xml:space="preserve">ix":""},{"dropping-particle":"","family":"Su","given":"Zhihua","non-dropping-particle":"","parse-names":false,"suffix":""},{"dropping-particle":"","family":"Zhao","given":"Zhongzheng","non-dropping-particle":"","parse-names":false,"suffix":""},{"dropping-p</w:instrText>
      </w:r>
      <w:r>
        <w:rPr>
          <w:rFonts w:ascii="Times New Roman" w:hAnsi="Times New Roman" w:cs="Times New Roman"/>
          <w:sz w:val="21"/>
          <w:szCs w:val="21"/>
        </w:rPr>
        <w:instrText xml:space="preserve">article":"","family":"Wang","given":"Yanan","non-dropping-particle":"","parse-names":false,"suffix":""},{"dropping-particle":"","family":"Li","given":"Yang","non-dropping-particle":"","parse-names":false,"suffix":""},{"dropping-particle":"","family":"Lu","</w:instrText>
      </w:r>
      <w:r>
        <w:rPr>
          <w:rFonts w:ascii="Times New Roman" w:hAnsi="Times New Roman" w:cs="Times New Roman"/>
          <w:sz w:val="21"/>
          <w:szCs w:val="21"/>
        </w:rPr>
        <w:instrText xml:space="preserve">given":"Xiaoxiang","non-dropping-particle":"","parse-names":false,"suffix":""},{"dropping-particle":"","family":"Wei","given":"Dongguang","non-dropping-particle":"","parse-names":false,"suffix":""},{"dropping-particle":"","family":"Feng","given":"Guoying",</w:instrText>
      </w:r>
      <w:r>
        <w:rPr>
          <w:rFonts w:ascii="Times New Roman" w:hAnsi="Times New Roman" w:cs="Times New Roman"/>
          <w:sz w:val="21"/>
          <w:szCs w:val="21"/>
        </w:rPr>
        <w:instrText xml:space="preserve">"non-dropping-particle":"","parse-names":false,"suffix":""},{"dropping-particle":"","family":"Yu","given":"Qingkai","non-dropping-particle":"","parse-names":false,"suffix":""},{"dropping-particle":"","family":"Cai","given":"Xiaojun","non-dropping-particle"</w:instrText>
      </w:r>
      <w:r>
        <w:rPr>
          <w:rFonts w:ascii="Times New Roman" w:hAnsi="Times New Roman" w:cs="Times New Roman"/>
          <w:sz w:val="21"/>
          <w:szCs w:val="21"/>
        </w:rPr>
        <w:instrText xml:space="preserve">:"","parse-names":false,"suffix":""},{"dropping-particle":"","family":"Zhao","given":"Jimin","non-dropping-particle":"","parse-names":false,"suffix":""},{"dropping-particle":"","family":"Ren","given":"Zhifeng","non-dropping-particle":"","parse-names":false</w:instrText>
      </w:r>
      <w:r>
        <w:rPr>
          <w:rFonts w:ascii="Times New Roman" w:hAnsi="Times New Roman" w:cs="Times New Roman"/>
          <w:sz w:val="21"/>
          <w:szCs w:val="21"/>
        </w:rPr>
        <w:instrText xml:space="preserve">,"suffix":""},{"dropping-particle":"","family":"Fang","given":"Hui","non-dropping-particle":"","parse-names":false,"suffix":""},{"dropping-particle":"","family":"Robles-Hernandez","given":"Francisco","non-dropping-particle":"","parse-names":false,"suffix":</w:instrText>
      </w:r>
      <w:r>
        <w:rPr>
          <w:rFonts w:ascii="Times New Roman" w:hAnsi="Times New Roman" w:cs="Times New Roman"/>
          <w:sz w:val="21"/>
          <w:szCs w:val="21"/>
        </w:rPr>
        <w:instrText xml:space="preserve">""},{"dropping-particle":"","family":"Baldelli","given":"Steven","non-dropping-particle":"","parse-names":false,"suffix":""},{"dropping-particle":"","family":"Bao","given":"Jiming","non-dropping-particle":"","parse-names":false,"suffix":""}],"container-tit</w:instrText>
      </w:r>
      <w:r>
        <w:rPr>
          <w:rFonts w:ascii="Times New Roman" w:hAnsi="Times New Roman" w:cs="Times New Roman"/>
          <w:sz w:val="21"/>
          <w:szCs w:val="21"/>
        </w:rPr>
        <w:instrText xml:space="preserve">le":"Nature Nanotechnology","id":"ITEM-1","issue":"1","issued":{"date-parts":[["2014"]]},"page":"69-73","publisher":"Nature Publishing Group","title":"Efficient solar water-splitting using a nanocrystalline CoO photocatalyst","type":"article-journal","volu</w:instrText>
      </w:r>
      <w:r>
        <w:rPr>
          <w:rFonts w:ascii="Times New Roman" w:hAnsi="Times New Roman" w:cs="Times New Roman"/>
          <w:sz w:val="21"/>
          <w:szCs w:val="21"/>
        </w:rPr>
        <w:instrText xml:space="preserve">me":"9"},"uris":["http://www.mendeley.com/documents/?uuid=3569142d-91ab-4afc-baa0-150ebe685c25"]},{"id":"ITEM-2","itemData":{"DOI":"10.1038/s41467-018-03737-4","ISSN":"20411723","abstract":"Solar-driven water splitting using powdered catalysts is considere</w:instrText>
      </w:r>
      <w:r>
        <w:rPr>
          <w:rFonts w:ascii="Times New Roman" w:hAnsi="Times New Roman" w:cs="Times New Roman"/>
          <w:sz w:val="21"/>
          <w:szCs w:val="21"/>
        </w:rPr>
        <w:instrText xml:space="preserve">d as the most economical means for hydrogen generation. However, four-electron-driven oxidation half-reaction showing slow kinetics, accompanying with insufficient light absorption and rapid carrier combination in photocatalysts leads to low solar-to-hydro</w:instrText>
      </w:r>
      <w:r>
        <w:rPr>
          <w:rFonts w:ascii="Times New Roman" w:hAnsi="Times New Roman" w:cs="Times New Roman"/>
          <w:sz w:val="21"/>
          <w:szCs w:val="21"/>
        </w:rPr>
        <w:instrText xml:space="preserve">gen energy conversion efficiency. Here, we report amorphous cobalt phosphide (Co-P)-supported black phosphorus nanosheets employed as photocatalysts can simultaneously address these issues. The nanosheets exhibit robust hydrogen evolution from pure water (</w:instrText>
      </w:r>
      <w:r>
        <w:rPr>
          <w:rFonts w:ascii="Times New Roman" w:hAnsi="Times New Roman" w:cs="Times New Roman"/>
          <w:sz w:val="21"/>
          <w:szCs w:val="21"/>
        </w:rPr>
        <w:instrText xml:space="preserve">pH = 6.8) without bias and hole scavengers, achieving an apparent quantum efficiency of 42.55% at 430 nm and energy conversion efficiency of over 5.4% at 353 K. This photocatalytic activity is attributed to extremely efficient utilization of solar energy (</w:instrText>
      </w:r>
      <w:r>
        <w:rPr>
          <w:rFonts w:ascii="Cambria Math" w:hAnsi="Cambria Math" w:cs="Cambria Math"/>
          <w:sz w:val="21"/>
          <w:szCs w:val="21"/>
        </w:rPr>
        <w:instrText xml:space="preserve">∼</w:instrText>
      </w:r>
      <w:r>
        <w:rPr>
          <w:rFonts w:ascii="Times New Roman" w:hAnsi="Times New Roman" w:cs="Times New Roman"/>
          <w:sz w:val="21"/>
          <w:szCs w:val="21"/>
        </w:rPr>
        <w:instrText xml:space="preserve">75% of solar energy) by black phosphorus nanosheets and high-carrier separation efficiency by amorphous Co-P. The hybrid material design realizes efficient solar-to-chemical energy conversion in suspension, demonstrating the potential of black phosp</w:instrText>
      </w:r>
      <w:r>
        <w:rPr>
          <w:rFonts w:ascii="Times New Roman" w:hAnsi="Times New Roman" w:cs="Times New Roman"/>
          <w:sz w:val="21"/>
          <w:szCs w:val="21"/>
        </w:rPr>
        <w:instrText xml:space="preserve">horus-based materials as catalysts for solar hydrogen production.","author":[{"dropping-particle":"","family":"Tian","given":"Bin","non-dropping-particle":"","parse-names":false,"suffix":""},{"dropping-particle":"","family":"Tian","given":"Bining","non-dro</w:instrText>
      </w:r>
      <w:r>
        <w:rPr>
          <w:rFonts w:ascii="Times New Roman" w:hAnsi="Times New Roman" w:cs="Times New Roman"/>
          <w:sz w:val="21"/>
          <w:szCs w:val="21"/>
        </w:rPr>
        <w:instrText xml:space="preserve">pping-particle":"","parse-names":false,"suffix":""},{"dropping-particle":"","family":"Smith","given":"Bethany","non-dropping-particle":"","parse-names":false,"suffix":""},{"dropping-particle":"","family":"Scott","given":"M. C.","non-dropping-particle":"","</w:instrText>
      </w:r>
      <w:r>
        <w:rPr>
          <w:rFonts w:ascii="Times New Roman" w:hAnsi="Times New Roman" w:cs="Times New Roman"/>
          <w:sz w:val="21"/>
          <w:szCs w:val="21"/>
        </w:rPr>
        <w:instrText xml:space="preserve">parse-names":false,"suffix":""},{"dropping-particle":"","family":"Hua","given":"Ruinian","non-dropping-particle":"","parse-names":false,"suffix":""},{"dropping-particle":"","family":"Lei","given":"Qin","non-dropping-particle":"","parse-names":false,"suffix</w:instrText>
      </w:r>
      <w:r>
        <w:rPr>
          <w:rFonts w:ascii="Times New Roman" w:hAnsi="Times New Roman" w:cs="Times New Roman"/>
          <w:sz w:val="21"/>
          <w:szCs w:val="21"/>
        </w:rPr>
        <w:instrText xml:space="preserve">":""},{"dropping-particle":"","family":"Tian","given":"Yue","non-dropping-particle":"","parse-names":false,"suffix":""}],"container-title":"Nature Communications","id":"ITEM-2","issued":{"date-parts":[["2018"]]},"page":"1397","publisher":"Springer US","tit</w:instrText>
      </w:r>
      <w:r>
        <w:rPr>
          <w:rFonts w:ascii="Times New Roman" w:hAnsi="Times New Roman" w:cs="Times New Roman"/>
          <w:sz w:val="21"/>
          <w:szCs w:val="21"/>
        </w:rPr>
        <w:instrText xml:space="preserve">le":"Supported black phosphorus nanosheets as hydrogen-evolving photocatalyst achieving 5.4% energy conversion efficiency at 353 K","type":"article-journal","volume":"9"},"uris":["http://www.mendeley.com/documents/?uuid=c45d0ebf-ef09-4444-9119-3b589f0b46f2</w:instrText>
      </w:r>
      <w:r>
        <w:rPr>
          <w:rFonts w:ascii="Times New Roman" w:hAnsi="Times New Roman" w:cs="Times New Roman"/>
          <w:sz w:val="21"/>
          <w:szCs w:val="21"/>
        </w:rPr>
        <w:instrText xml:space="preserve">"]}],"mendeley":{"formattedCitation":"&lt;sup&gt;8,9&lt;/sup&gt;","plainTextFormattedCitation":"8,9","previouslyFormattedCitation":"&lt;sup&gt;8,9&lt;/sup&gt;"},"properties":{"noteIndex":0},"schema":"https://github.com/citation-style-language/schema/raw/master/csl-citation.json"}</w:instrText>
      </w:r>
      <w:r>
        <w:rPr>
          <w:rFonts w:ascii="Times New Roman" w:hAnsi="Times New Roman" w:cs="Times New Roman"/>
          <w:sz w:val="21"/>
          <w:szCs w:val="21"/>
        </w:rPr>
        <w:fldChar w:fldCharType="separate"/>
      </w:r>
      <w:r>
        <w:rPr>
          <w:rFonts w:ascii="Times New Roman" w:hAnsi="Times New Roman" w:cs="Times New Roman"/>
          <w:sz w:val="21"/>
          <w:szCs w:val="21"/>
          <w:vertAlign w:val="superscript"/>
        </w:rPr>
        <w:t xml:space="preserve">8,9</w:t>
      </w:r>
      <w:r>
        <w:rPr>
          <w:rFonts w:ascii="Times New Roman" w:hAnsi="Times New Roman" w:cs="Times New Roman"/>
          <w:sz w:val="21"/>
          <w:szCs w:val="21"/>
        </w:rPr>
        <w:fldChar w:fldCharType="end"/>
      </w:r>
      <w:r>
        <w:rPr>
          <w:rFonts w:ascii="Times New Roman" w:hAnsi="Times New Roman" w:cs="Times New Roman"/>
          <w:sz w:val="21"/>
          <w:szCs w:val="21"/>
        </w:rPr>
        <w:t xml:space="preserve">. </w:t>
      </w:r>
      <w:r>
        <w:rPr>
          <w:rFonts w:ascii="Times New Roman" w:hAnsi="Times New Roman" w:cs="Times New Roman"/>
          <w:sz w:val="21"/>
          <w:szCs w:val="21"/>
        </w:rPr>
        <w:t xml:space="preserve">Despite the great progress achieved so far, the STH of particulate POWS system</w:t>
      </w:r>
      <w:r>
        <w:rPr>
          <w:rFonts w:ascii="Times New Roman" w:hAnsi="Times New Roman" w:cs="Times New Roman"/>
          <w:sz w:val="21"/>
          <w:szCs w:val="21"/>
        </w:rPr>
        <w:t xml:space="preserve">s</w:t>
      </w:r>
      <w:r>
        <w:rPr>
          <w:rFonts w:ascii="Times New Roman" w:hAnsi="Times New Roman" w:cs="Times New Roman"/>
          <w:sz w:val="21"/>
          <w:szCs w:val="21"/>
        </w:rPr>
        <w:t xml:space="preserve"> still fails to meet the goal of 10% proposed by the United States Department of Energy</w:t>
      </w:r>
      <w:r>
        <w:rPr>
          <w:rFonts w:ascii="Times New Roman" w:hAnsi="Times New Roman" w:cs="Times New Roman"/>
          <w:sz w:val="21"/>
          <w:szCs w:val="21"/>
        </w:rPr>
        <w:t xml:space="preserve"> (DOE)</w:t>
      </w:r>
      <w:r>
        <w:rPr>
          <w:rFonts w:ascii="Times New Roman" w:hAnsi="Times New Roman" w:cs="Times New Roman"/>
          <w:sz w:val="21"/>
          <w:szCs w:val="21"/>
        </w:rPr>
        <w:fldChar w:fldCharType="begin"/>
      </w:r>
      <w:r>
        <w:rPr>
          <w:rFonts w:ascii="Times New Roman" w:hAnsi="Times New Roman" w:cs="Times New Roman"/>
          <w:sz w:val="21"/>
          <w:szCs w:val="21"/>
        </w:rPr>
        <w:instrText xml:space="preserve">ADDIN CSL_CITATION {"citationItems":[{"id":"ITEM-1","itemData":{"DOI":"10.1021/acs.chemrev.9b00201","ISSN":"15206890","abstract":"Solar-driven water splitting provides a leading approach to store the abundant yet intermittent solar ener</w:instrText>
      </w:r>
      <w:r>
        <w:rPr>
          <w:rFonts w:ascii="Times New Roman" w:hAnsi="Times New Roman" w:cs="Times New Roman"/>
          <w:sz w:val="21"/>
          <w:szCs w:val="21"/>
        </w:rPr>
        <w:instrText xml:space="preserve">gy and produce hydrogen as a clean and sustainable energy carrier. A straightforward route to light-driven water splitting is to apply self-supported particulate photocatalysts, which is expected to allow solar hydrogen to be competitive with fossil-fuel-d</w:instrText>
      </w:r>
      <w:r>
        <w:rPr>
          <w:rFonts w:ascii="Times New Roman" w:hAnsi="Times New Roman" w:cs="Times New Roman"/>
          <w:sz w:val="21"/>
          <w:szCs w:val="21"/>
        </w:rPr>
        <w:instrText xml:space="preserve">erived hydrogen on a levelized cost basis. More importantly, the powder-based systems can lend themselves to making functional panels on a large scale while retaining the intrinsic activity of the photocatalyst. However, all attempts to generate hydrogen v</w:instrText>
      </w:r>
      <w:r>
        <w:rPr>
          <w:rFonts w:ascii="Times New Roman" w:hAnsi="Times New Roman" w:cs="Times New Roman"/>
          <w:sz w:val="21"/>
          <w:szCs w:val="21"/>
        </w:rPr>
        <w:instrText xml:space="preserve">ia powder-based solar water-splitting systems to date have unfortunately fallen short of the efficiency values required for practical applications. Photocatalysis on photocatalyst particles involves three sequential steps: (i) absorption of photons with hi</w:instrText>
      </w:r>
      <w:r>
        <w:rPr>
          <w:rFonts w:ascii="Times New Roman" w:hAnsi="Times New Roman" w:cs="Times New Roman"/>
          <w:sz w:val="21"/>
          <w:szCs w:val="21"/>
        </w:rPr>
        <w:instrText xml:space="preserve">gher energies than the bandgap of the photocatalysts, leading to the excitation of electron-hole pairs in the particles, (ii) charge separation and migration of these photoexcited carriers, and (iii) surface chemical reactions based on these carriers. In t</w:instrText>
      </w:r>
      <w:r>
        <w:rPr>
          <w:rFonts w:ascii="Times New Roman" w:hAnsi="Times New Roman" w:cs="Times New Roman"/>
          <w:sz w:val="21"/>
          <w:szCs w:val="21"/>
        </w:rPr>
        <w:instrText xml:space="preserve">his review, we focus on the challenges of each step and summarize material design strategies to overcome the obstacles and limitations. This review illustrates that it is possible to employ the fundamental principles underlying photosynthesis and the tools</w:instrText>
      </w:r>
      <w:r>
        <w:rPr>
          <w:rFonts w:ascii="Times New Roman" w:hAnsi="Times New Roman" w:cs="Times New Roman"/>
          <w:sz w:val="21"/>
          <w:szCs w:val="21"/>
        </w:rPr>
        <w:instrText xml:space="preserve"> of chemical and materials science to design and prepare photocatalysts for overall water splitting.","author":[{"dropping-particle":"","family":"Wang","given":"Qian","non-dropping-particle":"","parse-names":false,"suffix":""},{"dropping-particle":"","fami</w:instrText>
      </w:r>
      <w:r>
        <w:rPr>
          <w:rFonts w:ascii="Times New Roman" w:hAnsi="Times New Roman" w:cs="Times New Roman"/>
          <w:sz w:val="21"/>
          <w:szCs w:val="21"/>
        </w:rPr>
        <w:instrText xml:space="preserve">ly":"Domen","given":"Kazunari","non-dropping-particle":"","parse-names":false,"suffix":""}],"container-title":"Chemical Reviews","genre":"review-article","id":"ITEM-1","issue":"2","issued":{"date-parts":[["2020"]]},"page":"919-985","publisher":"American Ch</w:instrText>
      </w:r>
      <w:r>
        <w:rPr>
          <w:rFonts w:ascii="Times New Roman" w:hAnsi="Times New Roman" w:cs="Times New Roman"/>
          <w:sz w:val="21"/>
          <w:szCs w:val="21"/>
        </w:rPr>
        <w:instrText xml:space="preserve">emical Society","title":"Particulate Photocatalysts for Light-Driven Water Splitting: Mechanisms, Challenges, and Design Strategies","type":"article-journal","volume":"120"},"uris":["http://www.mendeley.com/documents/?uuid=a600ba46-45fc-4ed7-a5c2-ecdf557e6</w:instrText>
      </w:r>
      <w:r>
        <w:rPr>
          <w:rFonts w:ascii="Times New Roman" w:hAnsi="Times New Roman" w:cs="Times New Roman"/>
          <w:sz w:val="21"/>
          <w:szCs w:val="21"/>
        </w:rPr>
        <w:instrText xml:space="preserve">ae9"]}],"mendeley":{"formattedCitation":"&lt;sup&gt;10&lt;/sup&gt;","plainTextFormattedCitation":"10","previouslyFormattedCitation":"&lt;sup&gt;10&lt;/sup&gt;"},"properties":{"noteIndex":0},"schema":"https://github.com/citation-style-language/schema/raw/master/csl-citation.json"}</w:instrText>
      </w:r>
      <w:r>
        <w:rPr>
          <w:rFonts w:ascii="Times New Roman" w:hAnsi="Times New Roman" w:cs="Times New Roman"/>
          <w:sz w:val="21"/>
          <w:szCs w:val="21"/>
        </w:rPr>
        <w:fldChar w:fldCharType="separate"/>
      </w:r>
      <w:r>
        <w:rPr>
          <w:rFonts w:ascii="Times New Roman" w:hAnsi="Times New Roman" w:cs="Times New Roman"/>
          <w:sz w:val="21"/>
          <w:szCs w:val="21"/>
          <w:vertAlign w:val="superscript"/>
        </w:rPr>
        <w:t xml:space="preserve">10</w:t>
      </w:r>
      <w:r>
        <w:rPr>
          <w:rFonts w:ascii="Times New Roman" w:hAnsi="Times New Roman" w:cs="Times New Roman"/>
          <w:sz w:val="21"/>
          <w:szCs w:val="21"/>
        </w:rPr>
        <w:fldChar w:fldCharType="end"/>
      </w:r>
      <w:r>
        <w:rPr>
          <w:rFonts w:ascii="Times New Roman" w:hAnsi="Times New Roman" w:cs="Times New Roman"/>
          <w:sz w:val="21"/>
          <w:szCs w:val="21"/>
        </w:rPr>
        <w:t xml:space="preserve">. </w:t>
      </w:r>
      <w:r>
        <w:rPr>
          <w:rFonts w:ascii="Times New Roman" w:hAnsi="Times New Roman" w:cs="Times New Roman"/>
          <w:sz w:val="21"/>
          <w:szCs w:val="21"/>
        </w:rPr>
        <w:t xml:space="preserve">Apparently, some novel strategies to har</w:t>
      </w:r>
      <w:r>
        <w:rPr>
          <w:rFonts w:ascii="Times New Roman" w:hAnsi="Times New Roman" w:cs="Times New Roman"/>
          <w:sz w:val="21"/>
          <w:szCs w:val="21"/>
        </w:rPr>
        <w:t xml:space="preserve">vest</w:t>
      </w:r>
      <w:r>
        <w:rPr>
          <w:rFonts w:ascii="Times New Roman" w:hAnsi="Times New Roman" w:cs="Times New Roman"/>
          <w:sz w:val="21"/>
          <w:szCs w:val="21"/>
        </w:rPr>
        <w:t xml:space="preserve"> the solar energy </w:t>
      </w:r>
      <w:r>
        <w:rPr>
          <w:rFonts w:ascii="Times New Roman" w:hAnsi="Times New Roman" w:cs="Times New Roman"/>
          <w:sz w:val="21"/>
          <w:szCs w:val="21"/>
        </w:rPr>
        <w:t xml:space="preserve">more efficiently </w:t>
      </w:r>
      <w:r>
        <w:rPr>
          <w:rFonts w:ascii="Times New Roman" w:hAnsi="Times New Roman" w:cs="Times New Roman"/>
          <w:sz w:val="21"/>
          <w:szCs w:val="21"/>
        </w:rPr>
        <w:t xml:space="preserve">are urgently required</w:t>
      </w:r>
      <w:r>
        <w:rPr>
          <w:rFonts w:ascii="Times New Roman" w:hAnsi="Times New Roman" w:cs="Times New Roman"/>
          <w:sz w:val="21"/>
          <w:szCs w:val="21"/>
        </w:rPr>
        <w:t xml:space="preserve">.</w:t>
      </w:r>
      <w:r/>
    </w:p>
    <w:p>
      <w:pPr>
        <w:jc w:val="both"/>
        <w:spacing w:lineRule="exact" w:line="400" w:after="156"/>
        <w:rPr>
          <w:rFonts w:ascii="Times New Roman" w:hAnsi="Times New Roman" w:cs="Times New Roman"/>
          <w:sz w:val="21"/>
          <w:szCs w:val="21"/>
        </w:rPr>
      </w:pPr>
      <w:r>
        <w:rPr>
          <w:rFonts w:ascii="Times New Roman" w:hAnsi="Times New Roman" w:cs="Times New Roman"/>
          <w:sz w:val="21"/>
          <w:szCs w:val="21"/>
        </w:rPr>
        <w:t xml:space="preserve">Most studies focus on </w:t>
      </w:r>
      <w:r>
        <w:rPr>
          <w:rFonts w:ascii="Times New Roman" w:hAnsi="Times New Roman" w:cs="Times New Roman"/>
          <w:sz w:val="21"/>
          <w:szCs w:val="21"/>
        </w:rPr>
        <w:t xml:space="preserve">achieving wider range of</w:t>
      </w:r>
      <w:r>
        <w:rPr>
          <w:rFonts w:ascii="Times New Roman" w:hAnsi="Times New Roman" w:cs="Times New Roman"/>
          <w:sz w:val="21"/>
          <w:szCs w:val="21"/>
        </w:rPr>
        <w:t xml:space="preserve"> light absorption</w:t>
      </w:r>
      <w:r>
        <w:rPr>
          <w:rFonts w:ascii="Times New Roman" w:hAnsi="Times New Roman" w:cs="Times New Roman"/>
          <w:sz w:val="21"/>
          <w:szCs w:val="21"/>
        </w:rPr>
        <w:t xml:space="preserve"> of</w:t>
      </w:r>
      <w:r>
        <w:rPr>
          <w:rFonts w:ascii="Times New Roman" w:hAnsi="Times New Roman" w:cs="Times New Roman"/>
          <w:sz w:val="21"/>
          <w:szCs w:val="21"/>
        </w:rPr>
        <w:t xml:space="preserve"> the </w:t>
      </w:r>
      <w:r>
        <w:rPr>
          <w:rFonts w:ascii="Times New Roman" w:hAnsi="Times New Roman" w:cs="Times New Roman"/>
          <w:sz w:val="21"/>
          <w:szCs w:val="21"/>
        </w:rPr>
        <w:t xml:space="preserve">catalysts, </w:t>
      </w:r>
      <w:r>
        <w:rPr>
          <w:rFonts w:ascii="Times New Roman" w:hAnsi="Times New Roman" w:cs="Times New Roman"/>
          <w:sz w:val="21"/>
          <w:szCs w:val="21"/>
        </w:rPr>
        <w:t xml:space="preserve">h</w:t>
      </w:r>
      <w:r>
        <w:rPr>
          <w:rFonts w:ascii="Times New Roman" w:hAnsi="Times New Roman" w:cs="Times New Roman"/>
          <w:sz w:val="21"/>
          <w:szCs w:val="21"/>
        </w:rPr>
        <w:t xml:space="preserve">owever, it is </w:t>
      </w:r>
      <w:r>
        <w:rPr>
          <w:rFonts w:ascii="Times New Roman" w:hAnsi="Times New Roman" w:cs="Times New Roman"/>
          <w:sz w:val="21"/>
          <w:szCs w:val="21"/>
        </w:rPr>
        <w:t xml:space="preserve">recognise</w:t>
      </w:r>
      <w:r>
        <w:rPr>
          <w:rFonts w:ascii="Times New Roman" w:hAnsi="Times New Roman" w:cs="Times New Roman"/>
          <w:sz w:val="21"/>
          <w:szCs w:val="21"/>
        </w:rPr>
        <w:t xml:space="preserve">d</w:t>
      </w:r>
      <w:r>
        <w:rPr>
          <w:rFonts w:ascii="Times New Roman" w:hAnsi="Times New Roman" w:cs="Times New Roman"/>
          <w:sz w:val="21"/>
          <w:szCs w:val="21"/>
        </w:rPr>
        <w:t xml:space="preserve"> recently that</w:t>
      </w:r>
      <w:r>
        <w:rPr>
          <w:rFonts w:ascii="Times New Roman" w:hAnsi="Times New Roman" w:cs="Times New Roman"/>
          <w:sz w:val="21"/>
          <w:szCs w:val="21"/>
        </w:rPr>
        <w:t xml:space="preserve"> broadened </w:t>
      </w:r>
      <w:r>
        <w:rPr>
          <w:rFonts w:ascii="Times New Roman" w:hAnsi="Times New Roman" w:cs="Times New Roman"/>
          <w:sz w:val="21"/>
          <w:szCs w:val="21"/>
        </w:rPr>
        <w:t xml:space="preserve">absorption range would not</w:t>
      </w:r>
      <w:r>
        <w:rPr>
          <w:rFonts w:ascii="Times New Roman" w:hAnsi="Times New Roman" w:cs="Times New Roman"/>
          <w:sz w:val="21"/>
          <w:szCs w:val="21"/>
        </w:rPr>
        <w:t xml:space="preserve"> necessarily lead to </w:t>
      </w:r>
      <w:r>
        <w:rPr>
          <w:rFonts w:ascii="Times New Roman" w:hAnsi="Times New Roman" w:cs="Times New Roman"/>
          <w:sz w:val="21"/>
          <w:szCs w:val="21"/>
        </w:rPr>
        <w:t xml:space="preserve">improved </w:t>
      </w:r>
      <w:r>
        <w:rPr>
          <w:rFonts w:ascii="Times New Roman" w:hAnsi="Times New Roman" w:cs="Times New Roman"/>
          <w:sz w:val="21"/>
          <w:szCs w:val="21"/>
        </w:rPr>
        <w:t xml:space="preserve">performance</w:t>
      </w:r>
      <w:r>
        <w:rPr>
          <w:rFonts w:ascii="Times New Roman" w:hAnsi="Times New Roman" w:cs="Times New Roman"/>
          <w:sz w:val="21"/>
          <w:szCs w:val="21"/>
        </w:rPr>
        <w:fldChar w:fldCharType="begin"/>
      </w:r>
      <w:r>
        <w:rPr>
          <w:rFonts w:ascii="Times New Roman" w:hAnsi="Times New Roman" w:cs="Times New Roman"/>
          <w:sz w:val="21"/>
          <w:szCs w:val="21"/>
        </w:rPr>
        <w:instrText xml:space="preserve">ADDIN CSL_CITATION {"citationItems":[{"id":"ITEM-1","itemData":{"DOI":"10.1038/s41467-019-12385-1","ISSN":"20411723","abstract":"Photocatalytic water splitting is at</w:instrText>
      </w:r>
      <w:r>
        <w:rPr>
          <w:rFonts w:ascii="Times New Roman" w:hAnsi="Times New Roman" w:cs="Times New Roman"/>
          <w:sz w:val="21"/>
          <w:szCs w:val="21"/>
        </w:rPr>
        <w:instrText xml:space="preserve">tracting enormous interest for the storage of solar energy but no practical method has yet been identified. In the past decades, various systems have been developed but most of them suffer from low activities, a narrow range of absorption and poor quantum </w:instrText>
      </w:r>
      <w:r>
        <w:rPr>
          <w:rFonts w:ascii="Times New Roman" w:hAnsi="Times New Roman" w:cs="Times New Roman"/>
          <w:sz w:val="21"/>
          <w:szCs w:val="21"/>
        </w:rPr>
        <w:instrText xml:space="preserve">efficiencies (Q.E.) due to fast recombination of charge carriers. Here we report a dramatic suppression of electron-hole pair recombination on the surface of N-doped TiO2 based nanocatalysts under enhanced concentrations of H+ and OH−, and local electric f</w:instrText>
      </w:r>
      <w:r>
        <w:rPr>
          <w:rFonts w:ascii="Times New Roman" w:hAnsi="Times New Roman" w:cs="Times New Roman"/>
          <w:sz w:val="21"/>
          <w:szCs w:val="21"/>
        </w:rPr>
        <w:instrText xml:space="preserve">ield polarization of a MgO (111) support during photolysis of water at elevated temperatures. Thus, a broad optical absorption is seen, producing O2 and H2 in a 1:2 molar ratio with a H2 evolution rate of over 11,000 μmol g−1 h−1 without any sacrificial re</w:instrText>
      </w:r>
      <w:r>
        <w:rPr>
          <w:rFonts w:ascii="Times New Roman" w:hAnsi="Times New Roman" w:cs="Times New Roman"/>
          <w:sz w:val="21"/>
          <w:szCs w:val="21"/>
        </w:rPr>
        <w:instrText xml:space="preserve">agents at 270 °C. An exceptional range of Q.E. from 81.8% at 437 nm to 3.2% at 1000 nm is also reported.","author":[{"dropping-particle":"","family":"Li","given":"Yiyang","non-dropping-particle":"","parse-names":false,"suffix":""},{"dropping-particle":"","</w:instrText>
      </w:r>
      <w:r>
        <w:rPr>
          <w:rFonts w:ascii="Times New Roman" w:hAnsi="Times New Roman" w:cs="Times New Roman"/>
          <w:sz w:val="21"/>
          <w:szCs w:val="21"/>
        </w:rPr>
        <w:instrText xml:space="preserve">family":"Peng","given":"Yung-Kang","non-dropping-particle":"","parse-names":false,"suffix":""},{"dropping-particle":"","family":"Hu","given":"Liangsheng","non-dropping-particle":"","parse-names":false,"suffix":""},{"dropping-particle":"","family":"Zheng","</w:instrText>
      </w:r>
      <w:r>
        <w:rPr>
          <w:rFonts w:ascii="Times New Roman" w:hAnsi="Times New Roman" w:cs="Times New Roman"/>
          <w:sz w:val="21"/>
          <w:szCs w:val="21"/>
        </w:rPr>
        <w:instrText xml:space="preserve">given":"Jianwei","non-dropping-particle":"","parse-names":false,"suffix":""},{"dropping-particle":"","family":"Prabhakaran","given":"Dharmalingam","non-dropping-particle":"","parse-names":false,"suffix":""},{"dropping-particle":"","family":"Wu","given":"Si</w:instrText>
      </w:r>
      <w:r>
        <w:rPr>
          <w:rFonts w:ascii="Times New Roman" w:hAnsi="Times New Roman" w:cs="Times New Roman"/>
          <w:sz w:val="21"/>
          <w:szCs w:val="21"/>
        </w:rPr>
        <w:instrText xml:space="preserve">mson","non-dropping-particle":"","parse-names":false,"suffix":""},{"dropping-particle":"","family":"Puchtler","given":"Timothy J.","non-dropping-particle":"","parse-names":false,"suffix":""},{"dropping-particle":"","family":"Li","given":"Mo","non-dropping-</w:instrText>
      </w:r>
      <w:r>
        <w:rPr>
          <w:rFonts w:ascii="Times New Roman" w:hAnsi="Times New Roman" w:cs="Times New Roman"/>
          <w:sz w:val="21"/>
          <w:szCs w:val="21"/>
        </w:rPr>
        <w:instrText xml:space="preserve">particle":"","parse-names":false,"suffix":""},{"dropping-particle":"","family":"Wong","given":"Kwok-Yin","non-dropping-particle":"","parse-names":false,"suffix":""},{"dropping-particle":"","family":"Taylor","given":"Robert A.","non-dropping-particle":"","p</w:instrText>
      </w:r>
      <w:r>
        <w:rPr>
          <w:rFonts w:ascii="Times New Roman" w:hAnsi="Times New Roman" w:cs="Times New Roman"/>
          <w:sz w:val="21"/>
          <w:szCs w:val="21"/>
        </w:rPr>
        <w:instrText xml:space="preserve">arse-names":false,"suffix":""},{"dropping-particle":"","family":"Tsang","given":"Shik Chi Edman","non-dropping-particle":"","parse-names":false,"suffix":""}],"container-title":"Nature Communications","id":"ITEM-1","issued":{"date-parts":[["2019"]]},"page":</w:instrText>
      </w:r>
      <w:r>
        <w:rPr>
          <w:rFonts w:ascii="Times New Roman" w:hAnsi="Times New Roman" w:cs="Times New Roman"/>
          <w:sz w:val="21"/>
          <w:szCs w:val="21"/>
        </w:rPr>
        <w:instrText xml:space="preserve">"4421","title":"Photocatalytic water splitting by N-TiO2 on MgO (111) with exceptional quantum efficiencies at elevated temperatures","type":"article-journal","volume":"10"},"uris":["http://www.mendeley.com/documents/?uuid=056ce234-319b-4fc1-b7da-45ef91bf4</w:instrText>
      </w:r>
      <w:r>
        <w:rPr>
          <w:rFonts w:ascii="Times New Roman" w:hAnsi="Times New Roman" w:cs="Times New Roman"/>
          <w:sz w:val="21"/>
          <w:szCs w:val="21"/>
        </w:rPr>
        <w:instrText xml:space="preserve">e9e"]}],"mendeley":{"formattedCitation":"&lt;sup&gt;11&lt;/sup&gt;","plainTextFormattedCitation":"11","previouslyFormattedCitation":"&lt;sup&gt;11&lt;/sup&gt;"},"properties":{"noteIndex":0},"schema":"https://github.com/citation-style-language/schema/raw/master/csl-citation.json"}</w:instrText>
      </w:r>
      <w:r>
        <w:rPr>
          <w:rFonts w:ascii="Times New Roman" w:hAnsi="Times New Roman" w:cs="Times New Roman"/>
          <w:sz w:val="21"/>
          <w:szCs w:val="21"/>
        </w:rPr>
        <w:fldChar w:fldCharType="separate"/>
      </w:r>
      <w:r>
        <w:rPr>
          <w:rFonts w:ascii="Times New Roman" w:hAnsi="Times New Roman" w:cs="Times New Roman"/>
          <w:sz w:val="21"/>
          <w:szCs w:val="21"/>
          <w:vertAlign w:val="superscript"/>
        </w:rPr>
        <w:t xml:space="preserve">11</w:t>
      </w:r>
      <w:r>
        <w:rPr>
          <w:rFonts w:ascii="Times New Roman" w:hAnsi="Times New Roman" w:cs="Times New Roman"/>
          <w:sz w:val="21"/>
          <w:szCs w:val="21"/>
        </w:rPr>
        <w:fldChar w:fldCharType="end"/>
      </w:r>
      <w:r>
        <w:rPr>
          <w:rFonts w:ascii="Times New Roman" w:hAnsi="Times New Roman" w:cs="Times New Roman"/>
          <w:sz w:val="21"/>
          <w:szCs w:val="21"/>
        </w:rPr>
        <w:t xml:space="preserve">. </w:t>
      </w:r>
      <w:r>
        <w:rPr>
          <w:rFonts w:ascii="Times New Roman" w:hAnsi="Times New Roman" w:cs="Times New Roman"/>
          <w:sz w:val="21"/>
          <w:szCs w:val="21"/>
        </w:rPr>
        <w:t xml:space="preserve">Actually f</w:t>
      </w:r>
      <w:r>
        <w:rPr>
          <w:rFonts w:ascii="Times New Roman" w:hAnsi="Times New Roman" w:cs="Times New Roman"/>
          <w:sz w:val="21"/>
          <w:szCs w:val="21"/>
        </w:rPr>
        <w:t xml:space="preserve">or </w:t>
      </w:r>
      <w:r>
        <w:rPr>
          <w:rFonts w:ascii="Times New Roman" w:hAnsi="Times New Roman" w:cs="Times New Roman"/>
          <w:sz w:val="21"/>
          <w:szCs w:val="21"/>
        </w:rPr>
        <w:t xml:space="preserve">reactions like POWS</w:t>
      </w:r>
      <w:r>
        <w:rPr>
          <w:rFonts w:ascii="Times New Roman" w:hAnsi="Times New Roman" w:cs="Times New Roman"/>
          <w:sz w:val="21"/>
          <w:szCs w:val="21"/>
        </w:rPr>
        <w:t xml:space="preserve"> which involve </w:t>
      </w:r>
      <w:r>
        <w:rPr>
          <w:rFonts w:ascii="Times New Roman" w:hAnsi="Times New Roman" w:cs="Times New Roman"/>
          <w:sz w:val="21"/>
          <w:szCs w:val="21"/>
        </w:rPr>
        <w:t xml:space="preserve">multiple</w:t>
      </w:r>
      <w:r>
        <w:rPr>
          <w:rFonts w:ascii="Times New Roman" w:hAnsi="Times New Roman" w:cs="Times New Roman"/>
          <w:sz w:val="21"/>
          <w:szCs w:val="21"/>
        </w:rPr>
        <w:t xml:space="preserve"> </w:t>
      </w:r>
      <w:r>
        <w:rPr>
          <w:rFonts w:ascii="Times New Roman" w:hAnsi="Times New Roman" w:cs="Times New Roman"/>
          <w:sz w:val="21"/>
          <w:szCs w:val="21"/>
        </w:rPr>
        <w:t xml:space="preserve">electrons and holes </w:t>
      </w:r>
      <w:r>
        <w:rPr>
          <w:rFonts w:ascii="Times New Roman" w:hAnsi="Times New Roman" w:cs="Times New Roman"/>
          <w:sz w:val="21"/>
          <w:szCs w:val="21"/>
        </w:rPr>
        <w:t xml:space="preserve">in the redox reactions, the photo-generated</w:t>
      </w:r>
      <w:r>
        <w:rPr>
          <w:rFonts w:ascii="Times New Roman" w:hAnsi="Times New Roman" w:cs="Times New Roman"/>
          <w:sz w:val="21"/>
          <w:szCs w:val="21"/>
        </w:rPr>
        <w:t xml:space="preserve"> </w:t>
      </w:r>
      <w:r>
        <w:rPr>
          <w:rFonts w:ascii="Times New Roman" w:hAnsi="Times New Roman" w:cs="Times New Roman"/>
          <w:sz w:val="21"/>
          <w:szCs w:val="21"/>
        </w:rPr>
        <w:t xml:space="preserve">charge carrier</w:t>
      </w:r>
      <w:r>
        <w:rPr>
          <w:rFonts w:ascii="Times New Roman" w:hAnsi="Times New Roman" w:cs="Times New Roman"/>
          <w:sz w:val="21"/>
          <w:szCs w:val="21"/>
        </w:rPr>
        <w:t xml:space="preserve">s must have </w:t>
      </w:r>
      <w:r>
        <w:rPr>
          <w:rFonts w:ascii="Times New Roman" w:hAnsi="Times New Roman" w:cs="Times New Roman"/>
          <w:sz w:val="21"/>
          <w:szCs w:val="21"/>
        </w:rPr>
        <w:t xml:space="preserve">sufficient</w:t>
      </w:r>
      <w:r>
        <w:rPr>
          <w:rFonts w:ascii="Times New Roman" w:hAnsi="Times New Roman" w:cs="Times New Roman"/>
          <w:sz w:val="21"/>
          <w:szCs w:val="21"/>
        </w:rPr>
        <w:t xml:space="preserve"> l</w:t>
      </w:r>
      <w:r>
        <w:rPr>
          <w:rFonts w:ascii="Times New Roman" w:hAnsi="Times New Roman" w:cs="Times New Roman"/>
          <w:sz w:val="21"/>
          <w:szCs w:val="21"/>
        </w:rPr>
        <w:t xml:space="preserve">ife</w:t>
      </w:r>
      <w:r>
        <w:rPr>
          <w:rFonts w:ascii="Times New Roman" w:hAnsi="Times New Roman" w:cs="Times New Roman"/>
          <w:sz w:val="21"/>
          <w:szCs w:val="21"/>
        </w:rPr>
        <w:t xml:space="preserve">time</w:t>
      </w:r>
      <w:r>
        <w:rPr>
          <w:rFonts w:ascii="Times New Roman" w:hAnsi="Times New Roman" w:cs="Times New Roman"/>
          <w:sz w:val="21"/>
          <w:szCs w:val="21"/>
        </w:rPr>
        <w:t xml:space="preserve">s</w:t>
      </w:r>
      <w:r>
        <w:rPr>
          <w:rFonts w:ascii="Times New Roman" w:hAnsi="Times New Roman" w:cs="Times New Roman"/>
          <w:sz w:val="21"/>
          <w:szCs w:val="21"/>
        </w:rPr>
        <w:t xml:space="preserve"> to travel to th</w:t>
      </w:r>
      <w:r>
        <w:rPr>
          <w:rFonts w:ascii="Times New Roman" w:hAnsi="Times New Roman" w:cs="Times New Roman"/>
          <w:sz w:val="21"/>
          <w:szCs w:val="21"/>
        </w:rPr>
        <w:t xml:space="preserve">e surface and accumulate at </w:t>
      </w:r>
      <w:r>
        <w:rPr>
          <w:rFonts w:ascii="Times New Roman" w:hAnsi="Times New Roman" w:cs="Times New Roman"/>
          <w:sz w:val="21"/>
          <w:szCs w:val="21"/>
        </w:rPr>
        <w:t xml:space="preserve">act</w:t>
      </w:r>
      <w:r>
        <w:rPr>
          <w:rFonts w:ascii="Times New Roman" w:hAnsi="Times New Roman" w:cs="Times New Roman"/>
          <w:sz w:val="21"/>
          <w:szCs w:val="21"/>
        </w:rPr>
        <w:t xml:space="preserve">ive centres to allow the chemical </w:t>
      </w:r>
      <w:r>
        <w:rPr>
          <w:rFonts w:ascii="Times New Roman" w:hAnsi="Times New Roman" w:cs="Times New Roman"/>
          <w:sz w:val="21"/>
          <w:szCs w:val="21"/>
        </w:rPr>
        <w:t xml:space="preserve">reactions to take place</w:t>
      </w:r>
      <w:r>
        <w:rPr>
          <w:rFonts w:ascii="Times New Roman" w:hAnsi="Times New Roman" w:cs="Times New Roman"/>
          <w:sz w:val="21"/>
          <w:szCs w:val="21"/>
        </w:rPr>
        <w:fldChar w:fldCharType="begin"/>
      </w:r>
      <w:r>
        <w:rPr>
          <w:rFonts w:ascii="Times New Roman" w:hAnsi="Times New Roman" w:cs="Times New Roman"/>
          <w:sz w:val="21"/>
          <w:szCs w:val="21"/>
        </w:rPr>
        <w:instrText xml:space="preserve">ADDIN CSL_CITATION {"citationItems":[{"id":"ITEM-1","itemData":{"DOI":"10.1038/s41560-018-0229-6","ISSN":"20587546","abstract":"Full water splitting into hydrogen and oxygen on semiconductor nanocrystals is a challenging task; overpotent</w:instrText>
      </w:r>
      <w:r>
        <w:rPr>
          <w:rFonts w:ascii="Times New Roman" w:hAnsi="Times New Roman" w:cs="Times New Roman"/>
          <w:sz w:val="21"/>
          <w:szCs w:val="21"/>
        </w:rPr>
        <w:instrText xml:space="preserve">ials must be overcome for both half-reactions and different catalytic sites are needed to facilitate them. Additionally, efficient charge separation and prevention of back reactions are necessary. Here, we report simultaneous H2 and O2 evolution by CdS nan</w:instrText>
      </w:r>
      <w:r>
        <w:rPr>
          <w:rFonts w:ascii="Times New Roman" w:hAnsi="Times New Roman" w:cs="Times New Roman"/>
          <w:sz w:val="21"/>
          <w:szCs w:val="21"/>
        </w:rPr>
        <w:instrText xml:space="preserve">orods decorated with nanoparticulate reduction and molecular oxidation co-catalysts. The process proceeds entirely without sacrificial agents and relies on the nanorod morphology of CdS to spatially separate the reduction and oxidation sites. Hydrogen is g</w:instrText>
      </w:r>
      <w:r>
        <w:rPr>
          <w:rFonts w:ascii="Times New Roman" w:hAnsi="Times New Roman" w:cs="Times New Roman"/>
          <w:sz w:val="21"/>
          <w:szCs w:val="21"/>
        </w:rPr>
        <w:instrText xml:space="preserve">enerated on Pt nanoparticles grown at the nanorod tips, while Ru(tpy)(bpy)Cl2-based oxidation catalysts are anchored through dithiocarbamate bonds onto the sides of the nanorod. O2 generation from water was verified by 18O isotope labelling experiments, an</w:instrText>
      </w:r>
      <w:r>
        <w:rPr>
          <w:rFonts w:ascii="Times New Roman" w:hAnsi="Times New Roman" w:cs="Times New Roman"/>
          <w:sz w:val="21"/>
          <w:szCs w:val="21"/>
        </w:rPr>
        <w:instrText xml:space="preserve">d time-resolved spectroscopic results confirmed efficient charge separation and ultrafast electron and hole transfer to the reaction sites. The system demonstrates that combining nanoparticulate and molecular catalysts on anisotropic nanocrystals provides </w:instrText>
      </w:r>
      <w:r>
        <w:rPr>
          <w:rFonts w:ascii="Times New Roman" w:hAnsi="Times New Roman" w:cs="Times New Roman"/>
          <w:sz w:val="21"/>
          <w:szCs w:val="21"/>
        </w:rPr>
        <w:instrText xml:space="preserve">an effective pathway for visible-light-driven photocatalytic water splitting.","author":[{"dropping-particle":"","family":"Wolff","given":"Christian M.","non-dropping-particle":"","parse-names":false,"suffix":""},{"dropping-particle":"","family":"Frischman</w:instrText>
      </w:r>
      <w:r>
        <w:rPr>
          <w:rFonts w:ascii="Times New Roman" w:hAnsi="Times New Roman" w:cs="Times New Roman"/>
          <w:sz w:val="21"/>
          <w:szCs w:val="21"/>
        </w:rPr>
        <w:instrText xml:space="preserve">n","given":"Peter D.","non-dropping-particle":"","parse-names":false,"suffix":""},{"dropping-particle":"","family":"Schulze","given":"Marcus","non-dropping-particle":"","parse-names":false,"suffix":""},{"dropping-particle":"","family":"Bohn","given":"Bernh</w:instrText>
      </w:r>
      <w:r>
        <w:rPr>
          <w:rFonts w:ascii="Times New Roman" w:hAnsi="Times New Roman" w:cs="Times New Roman"/>
          <w:sz w:val="21"/>
          <w:szCs w:val="21"/>
        </w:rPr>
        <w:instrText xml:space="preserve">ard J.","non-dropping-particle":"","parse-names":false,"suffix":""},{"dropping-particle":"","family":"Wein","given":"Robin","non-dropping-particle":"","parse-names":false,"suffix":""},{"dropping-particle":"","family":"Livadas","given":"Panajotis","non-drop</w:instrText>
      </w:r>
      <w:r>
        <w:rPr>
          <w:rFonts w:ascii="Times New Roman" w:hAnsi="Times New Roman" w:cs="Times New Roman"/>
          <w:sz w:val="21"/>
          <w:szCs w:val="21"/>
        </w:rPr>
        <w:instrText xml:space="preserve">ping-particle":"","parse-names":false,"suffix":""},{"dropping-particle":"","family":"Carlson","given":"Michael T.","non-dropping-particle":"","parse-names":false,"suffix":""},{"dropping-particle":"","family":"Jäckel","given":"Frank","non-dropping-particle"</w:instrText>
      </w:r>
      <w:r>
        <w:rPr>
          <w:rFonts w:ascii="Times New Roman" w:hAnsi="Times New Roman" w:cs="Times New Roman"/>
          <w:sz w:val="21"/>
          <w:szCs w:val="21"/>
        </w:rPr>
        <w:instrText xml:space="preserve">:"","parse-names":false,"suffix":""},{"dropping-particle":"","family":"Feldmann","given":"Jochen","non-dropping-particle":"","parse-names":false,"suffix":""},{"dropping-particle":"","family":"Würthner","given":"Frank","non-dropping-particle":"","parse-name</w:instrText>
      </w:r>
      <w:r>
        <w:rPr>
          <w:rFonts w:ascii="Times New Roman" w:hAnsi="Times New Roman" w:cs="Times New Roman"/>
          <w:sz w:val="21"/>
          <w:szCs w:val="21"/>
        </w:rPr>
        <w:instrText xml:space="preserve">s":false,"suffix":""},{"dropping-particle":"","family":"Stolarczyk","given":"Jacek K.","non-dropping-particle":"","parse-names":false,"suffix":""}],"container-title":"Nature Energy","id":"ITEM-1","issue":"10","issued":{"date-parts":[["2018"]]},"page":"862-</w:instrText>
      </w:r>
      <w:r>
        <w:rPr>
          <w:rFonts w:ascii="Times New Roman" w:hAnsi="Times New Roman" w:cs="Times New Roman"/>
          <w:sz w:val="21"/>
          <w:szCs w:val="21"/>
        </w:rPr>
        <w:instrText xml:space="preserve">869","title":"All-in-one visible-light-driven water splitting by combining nanoparticulate and molecular co-catalysts on CdS nanorods","type":"article-journal","volume":"3"},"uris":["http://www.mendeley.com/documents/?uuid=7a5e03a9-745f-43a8-9ab2-ee1b35521</w:instrText>
      </w:r>
      <w:r>
        <w:rPr>
          <w:rFonts w:ascii="Times New Roman" w:hAnsi="Times New Roman" w:cs="Times New Roman"/>
          <w:sz w:val="21"/>
          <w:szCs w:val="21"/>
        </w:rPr>
        <w:instrText xml:space="preserve">fb3"]}],"mendeley":{"formattedCitation":"&lt;sup&gt;12&lt;/sup&gt;","plainTextFormattedCitation":"12","previouslyFormattedCitation":"&lt;sup&gt;12&lt;/sup&gt;"},"properties":{"noteIndex":0},"schema":"https://github.com/citation-style-language/schema/raw/master/csl-citation.json"}</w:instrText>
      </w:r>
      <w:r>
        <w:rPr>
          <w:rFonts w:ascii="Times New Roman" w:hAnsi="Times New Roman" w:cs="Times New Roman"/>
          <w:sz w:val="21"/>
          <w:szCs w:val="21"/>
        </w:rPr>
        <w:fldChar w:fldCharType="separate"/>
      </w:r>
      <w:r>
        <w:rPr>
          <w:rFonts w:ascii="Times New Roman" w:hAnsi="Times New Roman" w:cs="Times New Roman"/>
          <w:sz w:val="21"/>
          <w:szCs w:val="21"/>
          <w:vertAlign w:val="superscript"/>
        </w:rPr>
        <w:t xml:space="preserve">12</w:t>
      </w:r>
      <w:r>
        <w:rPr>
          <w:rFonts w:ascii="Times New Roman" w:hAnsi="Times New Roman" w:cs="Times New Roman"/>
          <w:sz w:val="21"/>
          <w:szCs w:val="21"/>
        </w:rPr>
        <w:fldChar w:fldCharType="end"/>
      </w:r>
      <w:r>
        <w:rPr>
          <w:rFonts w:ascii="Times New Roman" w:hAnsi="Times New Roman" w:cs="Times New Roman"/>
          <w:sz w:val="21"/>
          <w:szCs w:val="21"/>
        </w:rPr>
        <w:t xml:space="preserve">. </w:t>
      </w:r>
      <w:r>
        <w:rPr>
          <w:rFonts w:ascii="Times New Roman" w:hAnsi="Times New Roman" w:cs="Times New Roman"/>
          <w:sz w:val="21"/>
          <w:szCs w:val="21"/>
        </w:rPr>
        <w:t xml:space="preserve">Therefore, facilitating the separation of charge carriers is more important in this system, so that the </w:t>
      </w:r>
      <w:r>
        <w:rPr>
          <w:rFonts w:ascii="Times New Roman" w:hAnsi="Times New Roman" w:cs="Times New Roman"/>
          <w:sz w:val="21"/>
          <w:szCs w:val="21"/>
        </w:rPr>
        <w:t xml:space="preserve">photo-generated </w:t>
      </w:r>
      <w:r>
        <w:rPr>
          <w:rFonts w:ascii="Times New Roman" w:hAnsi="Times New Roman" w:cs="Times New Roman"/>
          <w:sz w:val="21"/>
          <w:szCs w:val="21"/>
        </w:rPr>
        <w:t xml:space="preserve">electrons and holes can participat</w:t>
      </w:r>
      <w:r>
        <w:rPr>
          <w:rFonts w:ascii="Times New Roman" w:hAnsi="Times New Roman" w:cs="Times New Roman"/>
          <w:sz w:val="21"/>
          <w:szCs w:val="21"/>
        </w:rPr>
        <w:t xml:space="preserve">e </w:t>
      </w:r>
      <w:r>
        <w:rPr>
          <w:rFonts w:ascii="Times New Roman" w:hAnsi="Times New Roman" w:cs="Times New Roman"/>
          <w:sz w:val="21"/>
          <w:szCs w:val="21"/>
        </w:rPr>
        <w:t xml:space="preserve">the surface reactions instead of recombining to generate heat. </w:t>
      </w:r>
      <w:r>
        <w:rPr>
          <w:rFonts w:ascii="Times New Roman" w:hAnsi="Times New Roman" w:cs="Times New Roman"/>
          <w:sz w:val="21"/>
          <w:szCs w:val="21"/>
        </w:rPr>
        <w:t xml:space="preserve">Conventional approaches to prolong the exciton</w:t>
      </w:r>
      <w:r>
        <w:rPr>
          <w:rFonts w:ascii="Times New Roman" w:hAnsi="Times New Roman" w:cs="Times New Roman"/>
          <w:sz w:val="21"/>
          <w:szCs w:val="21"/>
        </w:rPr>
        <w:t xml:space="preserve"> </w:t>
      </w:r>
      <w:r>
        <w:rPr>
          <w:rFonts w:ascii="Times New Roman" w:hAnsi="Times New Roman" w:cs="Times New Roman"/>
          <w:sz w:val="21"/>
          <w:szCs w:val="21"/>
        </w:rPr>
        <w:t xml:space="preserve">lifetimes include the fabrication of heterojunction</w:t>
      </w:r>
      <w:r>
        <w:rPr>
          <w:rFonts w:ascii="Times New Roman" w:hAnsi="Times New Roman" w:cs="Times New Roman"/>
          <w:sz w:val="21"/>
          <w:szCs w:val="21"/>
        </w:rPr>
        <w:t xml:space="preserve">s</w:t>
      </w:r>
      <w:r>
        <w:rPr>
          <w:rFonts w:ascii="Times New Roman" w:hAnsi="Times New Roman" w:cs="Times New Roman"/>
          <w:sz w:val="21"/>
          <w:szCs w:val="21"/>
        </w:rPr>
        <w:fldChar w:fldCharType="begin"/>
      </w:r>
      <w:r>
        <w:rPr>
          <w:rFonts w:ascii="Times New Roman" w:hAnsi="Times New Roman" w:cs="Times New Roman"/>
          <w:sz w:val="21"/>
          <w:szCs w:val="21"/>
        </w:rPr>
        <w:instrText xml:space="preserve">ADDIN CSL_CITATION {"citat</w:instrText>
      </w:r>
      <w:r>
        <w:rPr>
          <w:rFonts w:ascii="Times New Roman" w:hAnsi="Times New Roman" w:cs="Times New Roman"/>
          <w:sz w:val="21"/>
          <w:szCs w:val="21"/>
        </w:rPr>
        <w:instrText xml:space="preserve">ionItems":[{"id":"ITEM-1","itemData":{"DOI":"10.1002/adma.201601694","ISSN":"15214095","abstract":"Semiconductor-based photocatalysis attracts wide attention because of its ability to directly utilize solar energy for production of solar fuels, such as hyd</w:instrText>
      </w:r>
      <w:r>
        <w:rPr>
          <w:rFonts w:ascii="Times New Roman" w:hAnsi="Times New Roman" w:cs="Times New Roman"/>
          <w:sz w:val="21"/>
          <w:szCs w:val="21"/>
        </w:rPr>
        <w:instrText xml:space="preserve">rogen and hydrocarbon fuels and for degradation of various pollutants. However, the efficiency of photocatalytic reactions remains low due to the fast electron–hole recombination and low light utilization. Therefore, enormous efforts have been undertaken t</w:instrText>
      </w:r>
      <w:r>
        <w:rPr>
          <w:rFonts w:ascii="Times New Roman" w:hAnsi="Times New Roman" w:cs="Times New Roman"/>
          <w:sz w:val="21"/>
          <w:szCs w:val="21"/>
        </w:rPr>
        <w:instrText xml:space="preserve">o solve these problems. Particularly, properly engineered heterojunction photocatalysts are shown to be able to possess higher photocatalytic activity because of spatial separation of photogenerated electron–hole pairs. Here, the basic principles of variou</w:instrText>
      </w:r>
      <w:r>
        <w:rPr>
          <w:rFonts w:ascii="Times New Roman" w:hAnsi="Times New Roman" w:cs="Times New Roman"/>
          <w:sz w:val="21"/>
          <w:szCs w:val="21"/>
        </w:rPr>
        <w:instrText xml:space="preserve">s heterojunction photocatalysts are systematically discussed. Recent efforts toward the development of heterojunction photocatalysts for various photocatalytic applications are also presented and appraised. Finally, a brief summary and perspectives on the </w:instrText>
      </w:r>
      <w:r>
        <w:rPr>
          <w:rFonts w:ascii="Times New Roman" w:hAnsi="Times New Roman" w:cs="Times New Roman"/>
          <w:sz w:val="21"/>
          <w:szCs w:val="21"/>
        </w:rPr>
        <w:instrText xml:space="preserve">challenges and future directions in the area of heterojunction photocatalysts are also provided.","author":[{"dropping-particle":"","family":"Low","given":"Jingxiang","non-dropping-particle":"","parse-names":false,"suffix":""},{"dropping-particle":"","fami</w:instrText>
      </w:r>
      <w:r>
        <w:rPr>
          <w:rFonts w:ascii="Times New Roman" w:hAnsi="Times New Roman" w:cs="Times New Roman"/>
          <w:sz w:val="21"/>
          <w:szCs w:val="21"/>
        </w:rPr>
        <w:instrText xml:space="preserve">ly":"Yu","given":"Jiaguo","non-dropping-particle":"","parse-names":false,"suffix":""},{"dropping-particle":"","family":"Jaroniec","given":"Mietek","non-dropping-particle":"","parse-names":false,"suffix":""},{"dropping-particle":"","family":"Wageh","given":</w:instrText>
      </w:r>
      <w:r>
        <w:rPr>
          <w:rFonts w:ascii="Times New Roman" w:hAnsi="Times New Roman" w:cs="Times New Roman"/>
          <w:sz w:val="21"/>
          <w:szCs w:val="21"/>
        </w:rPr>
        <w:instrText xml:space="preserve">"Swelm","non-dropping-particle":"","parse-names":false,"suffix":""},{"dropping-particle":"","family":"Al-Ghamdi","given":"Ahmed A.","non-dropping-particle":"","parse-names":false,"suffix":""}],"container-title":"Advanced Materials","id":"ITEM-1","issue":"2</w:instrText>
      </w:r>
      <w:r>
        <w:rPr>
          <w:rFonts w:ascii="Times New Roman" w:hAnsi="Times New Roman" w:cs="Times New Roman"/>
          <w:sz w:val="21"/>
          <w:szCs w:val="21"/>
        </w:rPr>
        <w:instrText xml:space="preserve">0","issued":{"date-parts":[["2017"]]},"page":"1601694","title":"Heterojunction Photocatalysts","type":"article-journal","volume":"29"},"uris":["http://www.mendeley.com/documents/?uuid=ee8e6a18-e3ee-3e1a-bfaa-4f8836fb8739"]},{"id":"ITEM-2","itemData":{"DOI"</w:instrText>
      </w:r>
      <w:r>
        <w:rPr>
          <w:rFonts w:ascii="Times New Roman" w:hAnsi="Times New Roman" w:cs="Times New Roman"/>
          <w:sz w:val="21"/>
          <w:szCs w:val="21"/>
        </w:rPr>
        <w:instrText xml:space="preserve">:"10.1002/aenm.201501241","ISSN":"16146840","abstract":"CdS nanoparticle-decorated Cd nanosheets (CdS NP/Cd NSs) are successfully fabricated for the first time via a facile oxidation-sulfurization treatment of Cd nanosheets. Due to the high electrical cond</w:instrText>
      </w:r>
      <w:r>
        <w:rPr>
          <w:rFonts w:ascii="Times New Roman" w:hAnsi="Times New Roman" w:cs="Times New Roman"/>
          <w:sz w:val="21"/>
          <w:szCs w:val="21"/>
        </w:rPr>
        <w:instrText xml:space="preserve">uctivity and visible light reflectivity of Cd nanosheets, the obtained CdS NP/Cd NSs heterostructures show significantly enhanced activities for visible light-driven photocatalytic H2 production compared to other reference CdS photocatalysts.","author":[{"</w:instrText>
      </w:r>
      <w:r>
        <w:rPr>
          <w:rFonts w:ascii="Times New Roman" w:hAnsi="Times New Roman" w:cs="Times New Roman"/>
          <w:sz w:val="21"/>
          <w:szCs w:val="21"/>
        </w:rPr>
        <w:instrText xml:space="preserve">dropping-particle":"","family":"Shang","given":"Lu","non-dropping-particle":"","parse-names":false,"suffix":""},{"dropping-particle":"","family":"Tong","given":"Bian","non-dropping-particle":"","parse-names":false,"suffix":""},{"dropping-particle":"","fami</w:instrText>
      </w:r>
      <w:r>
        <w:rPr>
          <w:rFonts w:ascii="Times New Roman" w:hAnsi="Times New Roman" w:cs="Times New Roman"/>
          <w:sz w:val="21"/>
          <w:szCs w:val="21"/>
        </w:rPr>
        <w:instrText xml:space="preserve">ly":"Yu","given":"Huijun","non-dropping-particle":"","parse-names":false,"suffix":""},{"dropping-particle":"","family":"Waterhouse","given":"Geoffrey I.N.","non-dropping-particle":"","parse-names":false,"suffix":""},{"dropping-particle":"","family":"Zhou",</w:instrText>
      </w:r>
      <w:r>
        <w:rPr>
          <w:rFonts w:ascii="Times New Roman" w:hAnsi="Times New Roman" w:cs="Times New Roman"/>
          <w:sz w:val="21"/>
          <w:szCs w:val="21"/>
        </w:rPr>
        <w:instrText xml:space="preserve">"given":"Chao","non-dropping-particle":"","parse-names":false,"suffix":""},{"dropping-particle":"","family":"Zhao","given":"Yufei","non-dropping-particle":"","parse-names":false,"suffix":""},{"dropping-particle":"","family":"Tahir","given":"Muhammad","non-</w:instrText>
      </w:r>
      <w:r>
        <w:rPr>
          <w:rFonts w:ascii="Times New Roman" w:hAnsi="Times New Roman" w:cs="Times New Roman"/>
          <w:sz w:val="21"/>
          <w:szCs w:val="21"/>
        </w:rPr>
        <w:instrText xml:space="preserve">dropping-particle":"","parse-names":false,"suffix":""},{"dropping-particle":"","family":"Wu","given":"Li Zhu","non-dropping-particle":"","parse-names":false,"suffix":""},{"dropping-particle":"","family":"Tung","given":"Chen Ho","non-dropping-particle":"","</w:instrText>
      </w:r>
      <w:r>
        <w:rPr>
          <w:rFonts w:ascii="Times New Roman" w:hAnsi="Times New Roman" w:cs="Times New Roman"/>
          <w:sz w:val="21"/>
          <w:szCs w:val="21"/>
        </w:rPr>
        <w:instrText xml:space="preserve">parse-names":false,"suffix":""},{"dropping-particle":"","family":"Zhang","given":"Tierui","non-dropping-particle":"","parse-names":false,"suffix":""}],"container-title":"Advanced Energy Materials","id":"ITEM-2","issued":{"date-parts":[["2016"]]},"page":"15</w:instrText>
      </w:r>
      <w:r>
        <w:rPr>
          <w:rFonts w:ascii="Times New Roman" w:hAnsi="Times New Roman" w:cs="Times New Roman"/>
          <w:sz w:val="21"/>
          <w:szCs w:val="21"/>
        </w:rPr>
        <w:instrText xml:space="preserve">01241","title":"CdS Nanoparticle-Decorated Cd Nanosheets for Efficient Visible Light-Driven Photocatalytic Hydrogen Evolution","type":"article-journal","volume":"6"},"uris":["http://www.mendeley.com/documents/?uuid=f514fd4b-32bf-4ac6-81b3-f0ccd28dd185"]},{</w:instrText>
      </w:r>
      <w:r>
        <w:rPr>
          <w:rFonts w:ascii="Times New Roman" w:hAnsi="Times New Roman" w:cs="Times New Roman"/>
          <w:sz w:val="21"/>
          <w:szCs w:val="21"/>
        </w:rPr>
        <w:instrText xml:space="preserve">"id":"ITEM-3","itemData":{"DOI":"10.1002/adfm.201102306","ISSN":"1616301X","abstract":"Core/shell structured C 3N 4/BiPO 4 photocatalyst is fabricated via a facile ultrasonic dispersion method. The thickness of the shell may be controlled by tuning the amo</w:instrText>
      </w:r>
      <w:r>
        <w:rPr>
          <w:rFonts w:ascii="Times New Roman" w:hAnsi="Times New Roman" w:cs="Times New Roman"/>
          <w:sz w:val="21"/>
          <w:szCs w:val="21"/>
        </w:rPr>
        <w:instrText xml:space="preserve">unt of C 3N 4 in the dispersion, which determines the enhanced level of photocatalytic activity. The optimum photocatalytic activity of C 3N 4/BiPO 4 at a weight ratio of 4% (C 3N 4/BiPO 4) under UV irradiation is almost 4.5 times as high as that of refere</w:instrText>
      </w:r>
      <w:r>
        <w:rPr>
          <w:rFonts w:ascii="Times New Roman" w:hAnsi="Times New Roman" w:cs="Times New Roman"/>
          <w:sz w:val="21"/>
          <w:szCs w:val="21"/>
        </w:rPr>
        <w:instrText xml:space="preserve">nce P25 (TiO 2) and 2.5 times of BiPO 4. More attractively, the dramatic visible light photocatalytic activity is generated due to the C 3N 4 loaded. The enhancement in performance is demonstrated to be the match of lattice and energy level between the C 3</w:instrText>
      </w:r>
      <w:r>
        <w:rPr>
          <w:rFonts w:ascii="Times New Roman" w:hAnsi="Times New Roman" w:cs="Times New Roman"/>
          <w:sz w:val="21"/>
          <w:szCs w:val="21"/>
        </w:rPr>
        <w:instrText xml:space="preserve">N 4 and BiPO 4. This match facilitates the separation and transfer of photogenerated electron-hole pairs at the heterojunction interfaces and may be important for other core/shell structured materials. In addition, this method is expected to be extended fo</w:instrText>
      </w:r>
      <w:r>
        <w:rPr>
          <w:rFonts w:ascii="Times New Roman" w:hAnsi="Times New Roman" w:cs="Times New Roman"/>
          <w:sz w:val="21"/>
          <w:szCs w:val="21"/>
        </w:rPr>
        <w:instrText xml:space="preserve">r other C 3N 4 loaded materials. © 2012 WILEY-VCH Verlag GmbH &amp; Co. KGaA, Weinheim.","author":[{"dropping-particle":"","family":"Pan","given":"Chengsi","non-dropping-particle":"","parse-names":false,"suffix":""},{"dropping-particle":"","family":"Xu","given</w:instrText>
      </w:r>
      <w:r>
        <w:rPr>
          <w:rFonts w:ascii="Times New Roman" w:hAnsi="Times New Roman" w:cs="Times New Roman"/>
          <w:sz w:val="21"/>
          <w:szCs w:val="21"/>
        </w:rPr>
        <w:instrText xml:space="preserve">":"Jing","non-dropping-particle":"","parse-names":false,"suffix":""},{"dropping-particle":"","family":"Wang","given":"Yajun","non-dropping-particle":"","parse-names":false,"suffix":""},{"dropping-particle":"","family":"Li","given":"Di","non-dropping-partic</w:instrText>
      </w:r>
      <w:r>
        <w:rPr>
          <w:rFonts w:ascii="Times New Roman" w:hAnsi="Times New Roman" w:cs="Times New Roman"/>
          <w:sz w:val="21"/>
          <w:szCs w:val="21"/>
        </w:rPr>
        <w:instrText xml:space="preserve">le":"","parse-names":false,"suffix":""},{"dropping-particle":"","family":"Zhu","given":"Yongfa","non-dropping-particle":"","parse-names":false,"suffix":""}],"container-title":"Advanced Functional Materials","id":"ITEM-3","issued":{"date-parts":[["2012"]]},</w:instrText>
      </w:r>
      <w:r>
        <w:rPr>
          <w:rFonts w:ascii="Times New Roman" w:hAnsi="Times New Roman" w:cs="Times New Roman"/>
          <w:sz w:val="21"/>
          <w:szCs w:val="21"/>
        </w:rPr>
        <w:instrText xml:space="preserve">"page":"1518-1524","title":"Dramatic activity of C3N4/BiPO4 photocatalyst with core/shell structure formed by self-assembly","type":"article-journal","volume":"22"},"uris":["http://www.mendeley.com/documents/?uuid=da990ea9-a48e-4cd3-a049-31e24f5e2a51"]}],"</w:instrText>
      </w:r>
      <w:r>
        <w:rPr>
          <w:rFonts w:ascii="Times New Roman" w:hAnsi="Times New Roman" w:cs="Times New Roman"/>
          <w:sz w:val="21"/>
          <w:szCs w:val="21"/>
        </w:rPr>
        <w:instrText xml:space="preserve">mendeley":{"formattedCitation":"&lt;sup&gt;13–15&lt;/sup&gt;","plainTextFormattedCitation":"13–15","previouslyFormattedCitation":"&lt;sup&gt;13–15&lt;/sup&gt;"},"properties":{"noteIndex":0},"schema":"https://github.com/citation-style-language/schema/raw/master/csl-citation.json"}</w:instrText>
      </w:r>
      <w:r>
        <w:rPr>
          <w:rFonts w:ascii="Times New Roman" w:hAnsi="Times New Roman" w:cs="Times New Roman"/>
          <w:sz w:val="21"/>
          <w:szCs w:val="21"/>
        </w:rPr>
        <w:fldChar w:fldCharType="separate"/>
      </w:r>
      <w:r>
        <w:rPr>
          <w:rFonts w:ascii="Times New Roman" w:hAnsi="Times New Roman" w:cs="Times New Roman"/>
          <w:sz w:val="21"/>
          <w:szCs w:val="21"/>
          <w:vertAlign w:val="superscript"/>
        </w:rPr>
        <w:t xml:space="preserve">13–15</w:t>
      </w:r>
      <w:r>
        <w:rPr>
          <w:rFonts w:ascii="Times New Roman" w:hAnsi="Times New Roman" w:cs="Times New Roman"/>
          <w:sz w:val="21"/>
          <w:szCs w:val="21"/>
        </w:rPr>
        <w:fldChar w:fldCharType="end"/>
      </w:r>
      <w:r>
        <w:rPr>
          <w:rFonts w:ascii="Times New Roman" w:hAnsi="Times New Roman" w:cs="Times New Roman"/>
          <w:sz w:val="21"/>
          <w:szCs w:val="21"/>
        </w:rPr>
        <w:t xml:space="preserve"> or Z-scheme systems</w:t>
      </w:r>
      <w:r>
        <w:rPr>
          <w:rFonts w:ascii="Times New Roman" w:hAnsi="Times New Roman" w:cs="Times New Roman"/>
          <w:sz w:val="21"/>
          <w:szCs w:val="21"/>
        </w:rPr>
        <w:fldChar w:fldCharType="begin"/>
      </w:r>
      <w:r>
        <w:rPr>
          <w:rFonts w:ascii="Times New Roman" w:hAnsi="Times New Roman" w:cs="Times New Roman"/>
          <w:sz w:val="21"/>
          <w:szCs w:val="21"/>
        </w:rPr>
        <w:instrText xml:space="preserve">ADDIN CSL_CITATION {"citationItems":[{"id":"ITEM-1","itemData":{"DOI":"10.1038/nmat4589","ISSN":"14764660","abstract":"Photocatalytic water splitting using particulate semiconductors is a potentially scalabl</w:instrText>
      </w:r>
      <w:r>
        <w:rPr>
          <w:rFonts w:ascii="Times New Roman" w:hAnsi="Times New Roman" w:cs="Times New Roman"/>
          <w:sz w:val="21"/>
          <w:szCs w:val="21"/>
        </w:rPr>
        <w:instrText xml:space="preserve">e and economically feasible technology for converting solar energy into hydrogen. Z-scheme systems based on two-step photoexcitation of a hydrogen evolution photocatalyst (HEP) and an oxygen evolution photocatalyst (OEP) are suited to harvesting of sunligh</w:instrText>
      </w:r>
      <w:r>
        <w:rPr>
          <w:rFonts w:ascii="Times New Roman" w:hAnsi="Times New Roman" w:cs="Times New Roman"/>
          <w:sz w:val="21"/>
          <w:szCs w:val="21"/>
        </w:rPr>
        <w:instrText xml:space="preserve">t because semiconductors with either water reduction or oxidation activity can be applied to the water splitting reaction. However, it is challenging to achieve efficient transfer of electrons between HEP and OEP particles. Here, we present photocatalyst s</w:instrText>
      </w:r>
      <w:r>
        <w:rPr>
          <w:rFonts w:ascii="Times New Roman" w:hAnsi="Times New Roman" w:cs="Times New Roman"/>
          <w:sz w:val="21"/>
          <w:szCs w:val="21"/>
        </w:rPr>
        <w:instrText xml:space="preserve">heets based on La-and Rh-codoped SrTiO3 (SrTiO3:La, Rh; ref.8) and Mo-doped BiVO4 (BiVO4:Mo) powders embedded into a gold (Au) layer. Enhancement of the electron relay by annealing and suppression of undesirable reactions through surface modification allow</w:instrText>
      </w:r>
      <w:r>
        <w:rPr>
          <w:rFonts w:ascii="Times New Roman" w:hAnsi="Times New Roman" w:cs="Times New Roman"/>
          <w:sz w:val="21"/>
          <w:szCs w:val="21"/>
        </w:rPr>
        <w:instrText xml:space="preserve"> pure water (pH 6.8) splitting with a solar-to-hydrogen energy conversion efficiency of 1.1% and an apparent quantum yield of over 30% at 419 nm. The photocatalyst sheet design enables efficient and scalable water splitting using particulate semiconductors</w:instrText>
      </w:r>
      <w:r>
        <w:rPr>
          <w:rFonts w:ascii="Times New Roman" w:hAnsi="Times New Roman" w:cs="Times New Roman"/>
          <w:sz w:val="21"/>
          <w:szCs w:val="21"/>
        </w:rPr>
        <w:instrText xml:space="preserve">.","author":[{"dropping-particle":"","family":"Wang","given":"Qian","non-dropping-particle":"","parse-names":false,"suffix":""},{"dropping-particle":"","family":"Hisatomi","given":"Takashi","non-dropping-particle":"","parse-names":false,"suffix":""},{"drop</w:instrText>
      </w:r>
      <w:r>
        <w:rPr>
          <w:rFonts w:ascii="Times New Roman" w:hAnsi="Times New Roman" w:cs="Times New Roman"/>
          <w:sz w:val="21"/>
          <w:szCs w:val="21"/>
        </w:rPr>
        <w:instrText xml:space="preserve">ping-particle":"","family":"Jia","given":"Qingxin","non-dropping-particle":"","parse-names":false,"suffix":""},{"dropping-particle":"","family":"Tokudome","given":"Hiromasa","non-dropping-particle":"","parse-names":false,"suffix":""},{"dropping-particle":"</w:instrText>
      </w:r>
      <w:r>
        <w:rPr>
          <w:rFonts w:ascii="Times New Roman" w:hAnsi="Times New Roman" w:cs="Times New Roman"/>
          <w:sz w:val="21"/>
          <w:szCs w:val="21"/>
        </w:rPr>
        <w:instrText xml:space="preserve">","family":"Zhong","given":"Miao","non-dropping-particle":"","parse-names":false,"suffix":""},{"dropping-particle":"","family":"Wang","given":"Chizhong","non-dropping-particle":"","parse-names":false,"suffix":""},{"dropping-particle":"","family":"Pan","giv</w:instrText>
      </w:r>
      <w:r>
        <w:rPr>
          <w:rFonts w:ascii="Times New Roman" w:hAnsi="Times New Roman" w:cs="Times New Roman"/>
          <w:sz w:val="21"/>
          <w:szCs w:val="21"/>
        </w:rPr>
        <w:instrText xml:space="preserve">en":"Zhenhua","non-dropping-particle":"","parse-names":false,"suffix":""},{"dropping-particle":"","family":"Takata","given":"Tsuyoshi","non-dropping-particle":"","parse-names":false,"suffix":""},{"dropping-particle":"","family":"Nakabayashi","given":"Mamik</w:instrText>
      </w:r>
      <w:r>
        <w:rPr>
          <w:rFonts w:ascii="Times New Roman" w:hAnsi="Times New Roman" w:cs="Times New Roman"/>
          <w:sz w:val="21"/>
          <w:szCs w:val="21"/>
        </w:rPr>
        <w:instrText xml:space="preserve">o","non-dropping-particle":"","parse-names":false,"suffix":""},{"dropping-particle":"","family":"Shibata","given":"Naoya","non-dropping-particle":"","parse-names":false,"suffix":""},{"dropping-particle":"","family":"Li","given":"Yanbo","non-dropping-partic</w:instrText>
      </w:r>
      <w:r>
        <w:rPr>
          <w:rFonts w:ascii="Times New Roman" w:hAnsi="Times New Roman" w:cs="Times New Roman"/>
          <w:sz w:val="21"/>
          <w:szCs w:val="21"/>
        </w:rPr>
        <w:instrText xml:space="preserve">le":"","parse-names":false,"suffix":""},{"dropping-particle":"","family":"Sharp","given":"Ian D.","non-dropping-particle":"","parse-names":false,"suffix":""},{"dropping-particle":"","family":"Kudo","given":"Akihiko","non-dropping-particle":"","parse-names"</w:instrText>
      </w:r>
      <w:r>
        <w:rPr>
          <w:rFonts w:ascii="Times New Roman" w:hAnsi="Times New Roman" w:cs="Times New Roman"/>
          <w:sz w:val="21"/>
          <w:szCs w:val="21"/>
        </w:rPr>
        <w:instrText xml:space="preserve">:false,"suffix":""},{"dropping-particle":"","family":"Yamada","given":"Taro","non-dropping-particle":"","parse-names":false,"suffix":""},{"dropping-particle":"","family":"Domen","given":"Kazunari","non-dropping-particle":"","parse-names":false,"suffix":""}</w:instrText>
      </w:r>
      <w:r>
        <w:rPr>
          <w:rFonts w:ascii="Times New Roman" w:hAnsi="Times New Roman" w:cs="Times New Roman"/>
          <w:sz w:val="21"/>
          <w:szCs w:val="21"/>
        </w:rPr>
        <w:instrText xml:space="preserve">],"container-title":"Nature Materials","id":"ITEM-1","issue":"6","issued":{"date-parts":[["2016"]]},"page":"611-615","title":"Scalable water splitting on particulate photocatalyst sheets with a solar-to-hydrogen energy conversion efficiency exceeding 1%","</w:instrText>
      </w:r>
      <w:r>
        <w:rPr>
          <w:rFonts w:ascii="Times New Roman" w:hAnsi="Times New Roman" w:cs="Times New Roman"/>
          <w:sz w:val="21"/>
          <w:szCs w:val="21"/>
        </w:rPr>
        <w:instrText xml:space="preserve">type":"article-journal","volume":"15"},"uris":["http://www.mendeley.com/documents/?uuid=cd3b9427-7c62-4b4c-9899-2fcdc7562652"]},{"id":"ITEM-2","itemData":{"DOI":"10.1038/nmat1734","ISSN":"14764660","author":[{"dropping-particle":"","family":"Tada","given":</w:instrText>
      </w:r>
      <w:r>
        <w:rPr>
          <w:rFonts w:ascii="Times New Roman" w:hAnsi="Times New Roman" w:cs="Times New Roman"/>
          <w:sz w:val="21"/>
          <w:szCs w:val="21"/>
        </w:rPr>
        <w:instrText xml:space="preserve">"Hiroaki","non-dropping-particle":"","parse-names":false,"suffix":""},{"dropping-particle":"","family":"Mitsui","given":"Tomohiro","non-dropping-particle":"","parse-names":false,"suffix":""},{"dropping-particle":"","family":"Kiyonaga","given":"Tomokazu","n</w:instrText>
      </w:r>
      <w:r>
        <w:rPr>
          <w:rFonts w:ascii="Times New Roman" w:hAnsi="Times New Roman" w:cs="Times New Roman"/>
          <w:sz w:val="21"/>
          <w:szCs w:val="21"/>
        </w:rPr>
        <w:instrText xml:space="preserve">on-dropping-particle":"","parse-names":false,"suffix":""},{"dropping-particle":"","family":"Akita","given":"Tomoki","non-dropping-particle":"","parse-names":false,"suffix":""},{"dropping-particle":"","family":"Tanaka","given":"Koji","non-dropping-particle"</w:instrText>
      </w:r>
      <w:r>
        <w:rPr>
          <w:rFonts w:ascii="Times New Roman" w:hAnsi="Times New Roman" w:cs="Times New Roman"/>
          <w:sz w:val="21"/>
          <w:szCs w:val="21"/>
        </w:rPr>
        <w:instrText xml:space="preserve">:"","parse-names":false,"suffix":""}],"container-title":"Nature Materials","id":"ITEM-2","issued":{"date-parts":[["2006"]]},"page":"782-786","title":"All-solid-state Z-scheme in CdS-Au-TiO2 three-component nanojunction system","type":"article-journal","vol</w:instrText>
      </w:r>
      <w:r>
        <w:rPr>
          <w:rFonts w:ascii="Times New Roman" w:hAnsi="Times New Roman" w:cs="Times New Roman"/>
          <w:sz w:val="21"/>
          <w:szCs w:val="21"/>
        </w:rPr>
        <w:instrText xml:space="preserve">ume":"5"},"uris":["http://www.mendeley.com/documents/?uuid=fba2c7b5-2bf9-48b1-a1fe-4bab66f5c8f6"]},{"id":"ITEM-3","itemData":{"DOI":"10.1002/adma.201606688","ISSN":"15214095","abstract":"Ultrabroad-spectrum absorption and highly efficient generation of ava</w:instrText>
      </w:r>
      <w:r>
        <w:rPr>
          <w:rFonts w:ascii="Times New Roman" w:hAnsi="Times New Roman" w:cs="Times New Roman"/>
          <w:sz w:val="21"/>
          <w:szCs w:val="21"/>
        </w:rPr>
        <w:instrText xml:space="preserve">ilable charge carriers are two essential requirements for promising semiconductor-based photocatalysts, towards achieving the ultimate goal of solar-to-fuel conversion. Here, a fascinating nonmetal plasmonic Z-scheme photocatalyst with the W18O49/g-C3N4 he</w:instrText>
      </w:r>
      <w:r>
        <w:rPr>
          <w:rFonts w:ascii="Times New Roman" w:hAnsi="Times New Roman" w:cs="Times New Roman"/>
          <w:sz w:val="21"/>
          <w:szCs w:val="21"/>
        </w:rPr>
        <w:instrText xml:space="preserve">terostructure is reported, which can effectively harvest photon energies spanning from the UV to the nearinfrared region and simultaneously possesses improved charge-carrier dynamics to boost the generation of long-lived active electrons for the photocatal</w:instrText>
      </w:r>
      <w:r>
        <w:rPr>
          <w:rFonts w:ascii="Times New Roman" w:hAnsi="Times New Roman" w:cs="Times New Roman"/>
          <w:sz w:val="21"/>
          <w:szCs w:val="21"/>
        </w:rPr>
        <w:instrText xml:space="preserve">ytic reduction of protons into H2. By combining with theoretical simulations, a unique synergistic photocatalysis effect between the semiconductive Z-scheme charge-carrier separation and metal-like localized-surface-plasmon-resonance-induced “hot electrons</w:instrText>
      </w:r>
      <w:r>
        <w:rPr>
          <w:rFonts w:ascii="Times New Roman" w:hAnsi="Times New Roman" w:cs="Times New Roman"/>
          <w:sz w:val="21"/>
          <w:szCs w:val="21"/>
        </w:rPr>
        <w:instrText xml:space="preserve">” injection process is demonstrated within this binary heterostructure.","author":[{"dropping-particle":"","family":"Zhang","given":"Zhenyi","non-dropping-particle":"","parse-names":false,"suffix":""},{"dropping-particle":"","family":"Huang","given":"Jindo</w:instrText>
      </w:r>
      <w:r>
        <w:rPr>
          <w:rFonts w:ascii="Times New Roman" w:hAnsi="Times New Roman" w:cs="Times New Roman"/>
          <w:sz w:val="21"/>
          <w:szCs w:val="21"/>
        </w:rPr>
        <w:instrText xml:space="preserve">u","non-dropping-particle":"","parse-names":false,"suffix":""},{"dropping-particle":"","family":"Fang","given":"Yurui","non-dropping-particle":"","parse-names":false,"suffix":""},{"dropping-particle":"","family":"Zhang","given":"Mingyi","non-dropping-parti</w:instrText>
      </w:r>
      <w:r>
        <w:rPr>
          <w:rFonts w:ascii="Times New Roman" w:hAnsi="Times New Roman" w:cs="Times New Roman"/>
          <w:sz w:val="21"/>
          <w:szCs w:val="21"/>
        </w:rPr>
        <w:instrText xml:space="preserve">cle":"","parse-names":false,"suffix":""},{"dropping-particle":"","family":"Liu","given":"Kuichao","non-dropping-particle":"","parse-names":false,"suffix":""},{"dropping-particle":"","family":"Dong","given":"Bin","non-dropping-particle":"","parse-names":fal</w:instrText>
      </w:r>
      <w:r>
        <w:rPr>
          <w:rFonts w:ascii="Times New Roman" w:hAnsi="Times New Roman" w:cs="Times New Roman"/>
          <w:sz w:val="21"/>
          <w:szCs w:val="21"/>
        </w:rPr>
        <w:instrText xml:space="preserve">se,"suffix":""}],"container-title":"Advanced Materials","id":"ITEM-3","issued":{"date-parts":[["2017"]]},"page":"1606688","title":"A Nonmetal Plasmonic Z-Scheme Photocatalyst with UV- to NIR-Driven Photocatalytic Protons Reduction","type":"article-journal"</w:instrText>
      </w:r>
      <w:r>
        <w:rPr>
          <w:rFonts w:ascii="Times New Roman" w:hAnsi="Times New Roman" w:cs="Times New Roman"/>
          <w:sz w:val="21"/>
          <w:szCs w:val="21"/>
        </w:rPr>
        <w:instrText xml:space="preserve">,"volume":"29"},"uris":["http://www.mendeley.com/documents/?uuid=1ef1f4c6-e359-4930-84aa-5d21c2fc11dd"]},{"id":"ITEM-4","itemData":{"DOI":"10.1016/j.joule.2018.08.003","ISSN":"25424351","abstract":"Development of high-performance and scalable sunlight-driv</w:instrText>
      </w:r>
      <w:r>
        <w:rPr>
          <w:rFonts w:ascii="Times New Roman" w:hAnsi="Times New Roman" w:cs="Times New Roman"/>
          <w:sz w:val="21"/>
          <w:szCs w:val="21"/>
        </w:rPr>
        <w:instrText xml:space="preserve">en water-splitting systems is a central issue for mass production of solar hydrogen as a renewable and storable fuel. We show that particulate photocatalyst sheets printed from the ink containing nanoparticulate indium tin oxide as a conductive mediator an</w:instrText>
      </w:r>
      <w:r>
        <w:rPr>
          <w:rFonts w:ascii="Times New Roman" w:hAnsi="Times New Roman" w:cs="Times New Roman"/>
          <w:sz w:val="21"/>
          <w:szCs w:val="21"/>
        </w:rPr>
        <w:instrText xml:space="preserve">d photocatalysts promote the efficient and extensible Z-scheme water splitting under visible light. These units, regardless of their size, efficiently decompose pure water without the aid of electrolytes or buffering reagents. The printed sheets represent </w:instrText>
      </w:r>
      <w:r>
        <w:rPr>
          <w:rFonts w:ascii="Times New Roman" w:hAnsi="Times New Roman" w:cs="Times New Roman"/>
          <w:sz w:val="21"/>
          <w:szCs w:val="21"/>
        </w:rPr>
        <w:instrText xml:space="preserve">one of the most active Z-scheme pure-water-splitting systems yet reported, without the requirement for a vacuum process during fabrication and operation. Printable photocatalyst sheets based on transparent conductive nanoparticles can be obtained using cos</w:instrText>
      </w:r>
      <w:r>
        <w:rPr>
          <w:rFonts w:ascii="Times New Roman" w:hAnsi="Times New Roman" w:cs="Times New Roman"/>
          <w:sz w:val="21"/>
          <w:szCs w:val="21"/>
        </w:rPr>
        <w:instrText xml:space="preserve">t-effective and readily extensible procedures under the atmospheric pressure and are expected to allow the development of efficient solar hydrogen production on large scales.","author":[{"dropping-particle":"","family":"Wang","given":"Qian","non-dropping-p</w:instrText>
      </w:r>
      <w:r>
        <w:rPr>
          <w:rFonts w:ascii="Times New Roman" w:hAnsi="Times New Roman" w:cs="Times New Roman"/>
          <w:sz w:val="21"/>
          <w:szCs w:val="21"/>
        </w:rPr>
        <w:instrText xml:space="preserve">article":"","parse-names":false,"suffix":""},{"dropping-particle":"","family":"Okunaka","given":"Sayuri","non-dropping-particle":"","parse-names":false,"suffix":""},{"dropping-particle":"","family":"Tokudome","given":"Hiromasa","non-dropping-particle":"","</w:instrText>
      </w:r>
      <w:r>
        <w:rPr>
          <w:rFonts w:ascii="Times New Roman" w:hAnsi="Times New Roman" w:cs="Times New Roman"/>
          <w:sz w:val="21"/>
          <w:szCs w:val="21"/>
        </w:rPr>
        <w:instrText xml:space="preserve">parse-names":false,"suffix":""},{"dropping-particle":"","family":"Hisatomi","given":"Takashi","non-dropping-particle":"","parse-names":false,"suffix":""},{"dropping-particle":"","family":"Nakabayashi","given":"Mamiko","non-dropping-particle":"","parse-name</w:instrText>
      </w:r>
      <w:r>
        <w:rPr>
          <w:rFonts w:ascii="Times New Roman" w:hAnsi="Times New Roman" w:cs="Times New Roman"/>
          <w:sz w:val="21"/>
          <w:szCs w:val="21"/>
        </w:rPr>
        <w:instrText xml:space="preserve">s":false,"suffix":""},{"dropping-particle":"","family":"Shibata","given":"Naoya","non-dropping-particle":"","parse-names":false,"suffix":""},{"dropping-particle":"","family":"Yamada","given":"Taro","non-dropping-particle":"","parse-names":false,"suffix":""</w:instrText>
      </w:r>
      <w:r>
        <w:rPr>
          <w:rFonts w:ascii="Times New Roman" w:hAnsi="Times New Roman" w:cs="Times New Roman"/>
          <w:sz w:val="21"/>
          <w:szCs w:val="21"/>
        </w:rPr>
        <w:instrText xml:space="preserve">},{"dropping-particle":"","family":"Domen","given":"Kazunari","non-dropping-particle":"","parse-names":false,"suffix":""}],"container-title":"Joule","id":"ITEM-4","issue":"12","issued":{"date-parts":[["2018"]]},"page":"2667-2680","publisher":"Elsevier Inc.</w:instrText>
      </w:r>
      <w:r>
        <w:rPr>
          <w:rFonts w:ascii="Times New Roman" w:hAnsi="Times New Roman" w:cs="Times New Roman"/>
          <w:sz w:val="21"/>
          <w:szCs w:val="21"/>
        </w:rPr>
        <w:instrText xml:space="preserve">","title":"Printable Photocatalyst Sheets Incorporating a Transparent Conductive Mediator for Z-Scheme Water Splitting","type":"article-journal","volume":"2"},"uris":["http://www.mendeley.com/documents/?uuid=682cd6cb-6eb6-427d-be78-e6eca07b0612"]}],"mendel</w:instrText>
      </w:r>
      <w:r>
        <w:rPr>
          <w:rFonts w:ascii="Times New Roman" w:hAnsi="Times New Roman" w:cs="Times New Roman"/>
          <w:sz w:val="21"/>
          <w:szCs w:val="21"/>
        </w:rPr>
        <w:instrText xml:space="preserve">ey":{"formattedCitation":"&lt;sup&gt;7,16–18&lt;/sup&gt;","plainTextFormattedCitation":"7,16–18","previouslyFormattedCitation":"&lt;sup&gt;7,16–18&lt;/sup&gt;"},"properties":{"noteIndex":0},"schema":"https://github.com/citation-style-language/schema/raw/master/csl-citation.json"}</w:instrText>
      </w:r>
      <w:r>
        <w:rPr>
          <w:rFonts w:ascii="Times New Roman" w:hAnsi="Times New Roman" w:cs="Times New Roman"/>
          <w:sz w:val="21"/>
          <w:szCs w:val="21"/>
        </w:rPr>
        <w:fldChar w:fldCharType="separate"/>
      </w:r>
      <w:r>
        <w:rPr>
          <w:rFonts w:ascii="Times New Roman" w:hAnsi="Times New Roman" w:cs="Times New Roman"/>
          <w:sz w:val="21"/>
          <w:szCs w:val="21"/>
          <w:vertAlign w:val="superscript"/>
        </w:rPr>
        <w:t xml:space="preserve">7,16–18</w:t>
      </w:r>
      <w:r>
        <w:rPr>
          <w:rFonts w:ascii="Times New Roman" w:hAnsi="Times New Roman" w:cs="Times New Roman"/>
          <w:sz w:val="21"/>
          <w:szCs w:val="21"/>
        </w:rPr>
        <w:fldChar w:fldCharType="end"/>
      </w:r>
      <w:r>
        <w:rPr>
          <w:rFonts w:ascii="Times New Roman" w:hAnsi="Times New Roman" w:cs="Times New Roman"/>
          <w:sz w:val="21"/>
          <w:szCs w:val="21"/>
        </w:rPr>
        <w:t xml:space="preserve"> in which the built-in electric field </w:t>
      </w:r>
      <w:r>
        <w:rPr>
          <w:rFonts w:ascii="Times New Roman" w:hAnsi="Times New Roman" w:cs="Times New Roman"/>
          <w:sz w:val="21"/>
          <w:szCs w:val="21"/>
        </w:rPr>
        <w:t xml:space="preserve">is introduced at the interfaces. </w:t>
      </w:r>
      <w:r>
        <w:rPr>
          <w:rFonts w:ascii="Times New Roman" w:hAnsi="Times New Roman" w:cs="Times New Roman"/>
          <w:sz w:val="21"/>
          <w:szCs w:val="21"/>
        </w:rPr>
        <w:t xml:space="preserve">Such methods</w:t>
      </w:r>
      <w:r>
        <w:rPr>
          <w:rFonts w:ascii="Times New Roman" w:hAnsi="Times New Roman" w:cs="Times New Roman"/>
          <w:sz w:val="21"/>
          <w:szCs w:val="21"/>
        </w:rPr>
        <w:t xml:space="preserve"> need </w:t>
      </w:r>
      <w:r>
        <w:rPr>
          <w:rFonts w:ascii="Times New Roman" w:hAnsi="Times New Roman" w:cs="Times New Roman"/>
          <w:sz w:val="21"/>
          <w:szCs w:val="21"/>
        </w:rPr>
        <w:t xml:space="preserve">complicated construction of the materials and very fine control of the experimen</w:t>
      </w:r>
      <w:r>
        <w:rPr>
          <w:rFonts w:ascii="Times New Roman" w:hAnsi="Times New Roman" w:cs="Times New Roman"/>
          <w:sz w:val="21"/>
          <w:szCs w:val="21"/>
        </w:rPr>
        <w:t xml:space="preserve">tal parameters. </w:t>
      </w:r>
      <w:r>
        <w:rPr>
          <w:rFonts w:ascii="Times New Roman" w:hAnsi="Times New Roman" w:cs="Times New Roman"/>
          <w:sz w:val="21"/>
          <w:szCs w:val="21"/>
        </w:rPr>
        <w:t xml:space="preserve">We have recently reported </w:t>
      </w:r>
      <w:r>
        <w:rPr>
          <w:rFonts w:ascii="Times New Roman" w:hAnsi="Times New Roman" w:cs="Times New Roman"/>
          <w:sz w:val="21"/>
          <w:szCs w:val="21"/>
        </w:rPr>
        <w:t xml:space="preserve">that using elevated temperature, the photogeneration of charge carriers for water splitting can be much enhanced facilitated</w:t>
      </w:r>
      <w:r>
        <w:rPr>
          <w:rFonts w:ascii="Times New Roman" w:hAnsi="Times New Roman" w:cs="Times New Roman"/>
          <w:sz w:val="21"/>
          <w:szCs w:val="21"/>
        </w:rPr>
        <w:t xml:space="preserve"> with the heat derived from the solar means</w:t>
      </w:r>
      <w:r>
        <w:rPr>
          <w:rFonts w:ascii="Times New Roman" w:hAnsi="Times New Roman" w:cs="Times New Roman"/>
          <w:sz w:val="21"/>
          <w:szCs w:val="21"/>
          <w:vertAlign w:val="superscript"/>
        </w:rPr>
        <w:t xml:space="preserve">11</w:t>
      </w:r>
      <w:r>
        <w:rPr>
          <w:rFonts w:ascii="Times New Roman" w:hAnsi="Times New Roman" w:cs="Times New Roman"/>
          <w:sz w:val="21"/>
          <w:szCs w:val="21"/>
        </w:rPr>
        <w:t xml:space="preserve"> (see SI)</w:t>
      </w:r>
      <w:r>
        <w:rPr>
          <w:rFonts w:ascii="Times New Roman" w:hAnsi="Times New Roman" w:cs="Times New Roman"/>
          <w:sz w:val="21"/>
          <w:szCs w:val="21"/>
        </w:rPr>
        <w:t xml:space="preserve">. Novel </w:t>
      </w:r>
      <w:r>
        <w:rPr>
          <w:rFonts w:ascii="Times New Roman" w:hAnsi="Times New Roman" w:cs="Times New Roman"/>
          <w:sz w:val="21"/>
          <w:szCs w:val="21"/>
        </w:rPr>
        <w:t xml:space="preserve">strategies such as </w:t>
      </w:r>
      <w:r>
        <w:rPr>
          <w:rFonts w:ascii="Times New Roman" w:hAnsi="Times New Roman" w:cs="Times New Roman"/>
          <w:sz w:val="21"/>
          <w:szCs w:val="21"/>
        </w:rPr>
        <w:t xml:space="preserve">utili</w:t>
      </w:r>
      <w:r>
        <w:rPr>
          <w:rFonts w:ascii="Times New Roman" w:hAnsi="Times New Roman" w:cs="Times New Roman"/>
          <w:sz w:val="21"/>
          <w:szCs w:val="21"/>
        </w:rPr>
        <w:t xml:space="preserve">s</w:t>
      </w:r>
      <w:r>
        <w:rPr>
          <w:rFonts w:ascii="Times New Roman" w:hAnsi="Times New Roman" w:cs="Times New Roman"/>
          <w:sz w:val="21"/>
          <w:szCs w:val="21"/>
        </w:rPr>
        <w:t xml:space="preserve">ation of </w:t>
      </w:r>
      <w:r>
        <w:rPr>
          <w:rFonts w:ascii="Times New Roman" w:hAnsi="Times New Roman" w:cs="Times New Roman"/>
          <w:sz w:val="21"/>
          <w:szCs w:val="21"/>
        </w:rPr>
        <w:t xml:space="preserve">external </w:t>
      </w:r>
      <w:r>
        <w:rPr>
          <w:rFonts w:ascii="Times New Roman" w:hAnsi="Times New Roman" w:cs="Times New Roman"/>
          <w:sz w:val="21"/>
          <w:szCs w:val="21"/>
        </w:rPr>
        <w:t xml:space="preserve">electric </w:t>
      </w:r>
      <w:r>
        <w:rPr>
          <w:rFonts w:ascii="Times New Roman" w:hAnsi="Times New Roman" w:cs="Times New Roman"/>
          <w:sz w:val="21"/>
          <w:szCs w:val="21"/>
        </w:rPr>
        <w:t xml:space="preserve">field</w:t>
      </w:r>
      <w:r>
        <w:rPr>
          <w:rFonts w:ascii="Times New Roman" w:hAnsi="Times New Roman" w:cs="Times New Roman"/>
          <w:sz w:val="21"/>
          <w:szCs w:val="21"/>
        </w:rPr>
        <w:t xml:space="preserve"> to the prolong the recombination of the charge carriers generated at elevated temperature </w:t>
      </w:r>
      <w:r>
        <w:rPr>
          <w:rFonts w:ascii="Times New Roman" w:hAnsi="Times New Roman" w:cs="Times New Roman"/>
          <w:sz w:val="21"/>
          <w:szCs w:val="21"/>
        </w:rPr>
        <w:t xml:space="preserve">is proved effective in promoting catalytic </w:t>
      </w:r>
      <w:r>
        <w:rPr>
          <w:rFonts w:ascii="Times New Roman" w:hAnsi="Times New Roman" w:cs="Times New Roman"/>
          <w:sz w:val="21"/>
          <w:szCs w:val="21"/>
        </w:rPr>
        <w:t xml:space="preserve">performance</w:t>
      </w:r>
      <w:r>
        <w:rPr>
          <w:rFonts w:ascii="Times New Roman" w:hAnsi="Times New Roman" w:cs="Times New Roman"/>
          <w:sz w:val="21"/>
          <w:szCs w:val="21"/>
        </w:rPr>
        <w:fldChar w:fldCharType="begin"/>
      </w:r>
      <w:r>
        <w:rPr>
          <w:rFonts w:ascii="Times New Roman" w:hAnsi="Times New Roman" w:cs="Times New Roman"/>
          <w:sz w:val="21"/>
          <w:szCs w:val="21"/>
        </w:rPr>
        <w:instrText xml:space="preserve">ADDIN CSL_CITATION {"citationItems":[{"id":"ITEM-1","itemData":{"DOI":"10.1002/adfm.201202148","ISSN":"1616301X","abstract":"In the past decade, the surface plasmon resonance of Ag and Au nanoparticles has been investigated to improve the efficiency of p</w:instrText>
      </w:r>
      <w:r>
        <w:rPr>
          <w:rFonts w:ascii="Times New Roman" w:hAnsi="Times New Roman" w:cs="Times New Roman"/>
          <w:sz w:val="21"/>
          <w:szCs w:val="21"/>
        </w:rPr>
        <w:instrText xml:space="preserve">hotocatalytic processes. The photocatalytic production of fuels is particularly interesting for its ability to store the sun's energy in chemical bonds that can be released later without producing harmful byproducts. This Feature Article reviews recent wor</w:instrText>
      </w:r>
      <w:r>
        <w:rPr>
          <w:rFonts w:ascii="Times New Roman" w:hAnsi="Times New Roman" w:cs="Times New Roman"/>
          <w:sz w:val="21"/>
          <w:szCs w:val="21"/>
        </w:rPr>
        <w:instrText xml:space="preserve">k demonstrating plasmon-enhanced photocatalytic water splitting, reduction of CO2 with H2O to form hydrocarbon fuels, and degradation of organic molecules. Focus is placed on several possible mechanisms that have been previously discussed in the literature</w:instrText>
      </w:r>
      <w:r>
        <w:rPr>
          <w:rFonts w:ascii="Times New Roman" w:hAnsi="Times New Roman" w:cs="Times New Roman"/>
          <w:sz w:val="21"/>
          <w:szCs w:val="21"/>
        </w:rPr>
        <w:instrText xml:space="preserve">. A particular emphasis is given to several aspects of these mechanisms that are not fully understood and will require further investigation. © 2013 WILEY-VCH Verlag GmbH &amp; Co. KGaA, Weinheim.","author":[{"dropping-particle":"","family":"Hou","given":"Wenb</w:instrText>
      </w:r>
      <w:r>
        <w:rPr>
          <w:rFonts w:ascii="Times New Roman" w:hAnsi="Times New Roman" w:cs="Times New Roman"/>
          <w:sz w:val="21"/>
          <w:szCs w:val="21"/>
        </w:rPr>
        <w:instrText xml:space="preserve">o","non-dropping-particle":"","parse-names":false,"suffix":""},{"dropping-particle":"","family":"Cronin","given":"Stephen B.","non-dropping-particle":"","parse-names":false,"suffix":""}],"container-title":"Advanced Functional Materials","id":"ITEM-1","issu</w:instrText>
      </w:r>
      <w:r>
        <w:rPr>
          <w:rFonts w:ascii="Times New Roman" w:hAnsi="Times New Roman" w:cs="Times New Roman"/>
          <w:sz w:val="21"/>
          <w:szCs w:val="21"/>
        </w:rPr>
        <w:instrText xml:space="preserve">e":"13","issued":{"date-parts":[["2013"]]},"page":"1612-1619","title":"A review of surface plasmon resonance-enhanced photocatalysis","type":"article-journal","volume":"23"},"uris":["http://www.mendeley.com/documents/?uuid=335e5d37-4652-44ef-92fb-aa18c2f2b</w:instrText>
      </w:r>
      <w:r>
        <w:rPr>
          <w:rFonts w:ascii="Times New Roman" w:hAnsi="Times New Roman" w:cs="Times New Roman"/>
          <w:sz w:val="21"/>
          <w:szCs w:val="21"/>
        </w:rPr>
        <w:instrText xml:space="preserve">d6a"]}],"mendeley":{"formattedCitation":"&lt;sup&gt;19&lt;/sup&gt;","plainTextFormattedCitation":"19","previouslyFormattedCitation":"&lt;sup&gt;19&lt;/sup&gt;"},"properties":{"noteIndex":0},"schema":"https://github.com/citation-style-language/schema/raw/master/csl-citation.json"}</w:instrText>
      </w:r>
      <w:r>
        <w:rPr>
          <w:rFonts w:ascii="Times New Roman" w:hAnsi="Times New Roman" w:cs="Times New Roman"/>
          <w:sz w:val="21"/>
          <w:szCs w:val="21"/>
        </w:rPr>
        <w:fldChar w:fldCharType="separate"/>
      </w:r>
      <w:r>
        <w:rPr>
          <w:rFonts w:ascii="Times New Roman" w:hAnsi="Times New Roman" w:cs="Times New Roman"/>
          <w:sz w:val="21"/>
          <w:szCs w:val="21"/>
          <w:vertAlign w:val="superscript"/>
        </w:rPr>
        <w:t xml:space="preserve">19</w:t>
      </w:r>
      <w:r>
        <w:rPr>
          <w:rFonts w:ascii="Times New Roman" w:hAnsi="Times New Roman" w:cs="Times New Roman"/>
          <w:sz w:val="21"/>
          <w:szCs w:val="21"/>
        </w:rPr>
        <w:fldChar w:fldCharType="end"/>
      </w:r>
      <w:r>
        <w:rPr>
          <w:rFonts w:ascii="Times New Roman" w:hAnsi="Times New Roman" w:cs="Times New Roman" w:hint="eastAsia"/>
          <w:sz w:val="21"/>
          <w:szCs w:val="21"/>
        </w:rPr>
        <w:t xml:space="preserve">.</w:t>
      </w:r>
      <w:r>
        <w:rPr>
          <w:rFonts w:ascii="Times New Roman" w:hAnsi="Times New Roman" w:cs="Times New Roman"/>
          <w:sz w:val="21"/>
          <w:szCs w:val="21"/>
        </w:rPr>
        <w:t xml:space="preserve"> Our</w:t>
      </w:r>
      <w:r>
        <w:rPr>
          <w:rFonts w:ascii="Times New Roman" w:hAnsi="Times New Roman" w:cs="Times New Roman" w:hint="eastAsia"/>
          <w:sz w:val="21"/>
          <w:szCs w:val="21"/>
        </w:rPr>
        <w:t xml:space="preserve"> </w:t>
      </w:r>
      <w:r>
        <w:rPr>
          <w:rFonts w:ascii="Times New Roman" w:hAnsi="Times New Roman" w:cs="Times New Roman"/>
          <w:sz w:val="21"/>
          <w:szCs w:val="21"/>
        </w:rPr>
        <w:t xml:space="preserve">approach </w:t>
      </w:r>
      <w:r>
        <w:rPr>
          <w:rFonts w:ascii="Times New Roman" w:hAnsi="Times New Roman" w:cs="Times New Roman"/>
          <w:sz w:val="21"/>
          <w:szCs w:val="21"/>
        </w:rPr>
        <w:t xml:space="preserve">to generate </w:t>
      </w:r>
      <w:r>
        <w:rPr>
          <w:rFonts w:ascii="Times New Roman" w:hAnsi="Times New Roman" w:cs="Times New Roman"/>
          <w:sz w:val="21"/>
          <w:szCs w:val="21"/>
        </w:rPr>
        <w:t xml:space="preserve">local </w:t>
      </w:r>
      <w:r>
        <w:rPr>
          <w:rFonts w:ascii="Times New Roman" w:hAnsi="Times New Roman" w:cs="Times New Roman"/>
          <w:sz w:val="21"/>
          <w:szCs w:val="21"/>
        </w:rPr>
        <w:t xml:space="preserve">ele</w:t>
      </w:r>
      <w:r>
        <w:rPr>
          <w:rFonts w:ascii="Times New Roman" w:hAnsi="Times New Roman" w:cs="Times New Roman"/>
          <w:sz w:val="21"/>
          <w:szCs w:val="21"/>
        </w:rPr>
        <w:t xml:space="preserve">ctric field </w:t>
      </w:r>
      <w:r>
        <w:rPr>
          <w:rFonts w:ascii="Times New Roman" w:hAnsi="Times New Roman" w:cs="Times New Roman"/>
          <w:sz w:val="21"/>
          <w:szCs w:val="21"/>
        </w:rPr>
        <w:t xml:space="preserve">by</w:t>
      </w:r>
      <w:r>
        <w:rPr>
          <w:rFonts w:ascii="Times New Roman" w:hAnsi="Times New Roman" w:cs="Times New Roman"/>
          <w:sz w:val="21"/>
          <w:szCs w:val="21"/>
        </w:rPr>
        <w:t xml:space="preserve"> using </w:t>
      </w:r>
      <w:r>
        <w:rPr>
          <w:rFonts w:ascii="Times New Roman" w:hAnsi="Times New Roman" w:cs="Times New Roman"/>
          <w:sz w:val="21"/>
          <w:szCs w:val="21"/>
        </w:rPr>
        <w:t xml:space="preserve">polar-</w:t>
      </w:r>
      <w:r>
        <w:rPr>
          <w:rFonts w:ascii="Times New Roman" w:hAnsi="Times New Roman" w:cs="Times New Roman"/>
          <w:sz w:val="21"/>
          <w:szCs w:val="21"/>
        </w:rPr>
        <w:t xml:space="preserve">faceted </w:t>
      </w:r>
      <w:r>
        <w:rPr>
          <w:rFonts w:ascii="Times New Roman" w:hAnsi="Times New Roman" w:cs="Times New Roman"/>
          <w:sz w:val="21"/>
          <w:szCs w:val="21"/>
        </w:rPr>
        <w:t xml:space="preserve">support</w:t>
      </w:r>
      <w:r>
        <w:rPr>
          <w:rFonts w:ascii="Times New Roman" w:hAnsi="Times New Roman" w:cs="Times New Roman"/>
          <w:sz w:val="21"/>
          <w:szCs w:val="21"/>
        </w:rPr>
        <w:t xml:space="preserve">s </w:t>
      </w:r>
      <w:r>
        <w:rPr>
          <w:rFonts w:ascii="Times New Roman" w:hAnsi="Times New Roman" w:cs="Times New Roman"/>
          <w:sz w:val="21"/>
          <w:szCs w:val="21"/>
        </w:rPr>
        <w:t xml:space="preserve">demonstrated </w:t>
      </w:r>
      <w:r>
        <w:rPr>
          <w:rFonts w:ascii="Times New Roman" w:hAnsi="Times New Roman" w:cs="Times New Roman"/>
          <w:sz w:val="21"/>
          <w:szCs w:val="21"/>
        </w:rPr>
        <w:t xml:space="preserve">prolonged exciton lifetimes and </w:t>
      </w:r>
      <w:r>
        <w:rPr>
          <w:rFonts w:ascii="Times New Roman" w:hAnsi="Times New Roman" w:cs="Times New Roman"/>
          <w:sz w:val="21"/>
          <w:szCs w:val="21"/>
        </w:rPr>
        <w:t xml:space="preserve">improved </w:t>
      </w:r>
      <w:r>
        <w:rPr>
          <w:rFonts w:ascii="Times New Roman" w:hAnsi="Times New Roman" w:cs="Times New Roman"/>
          <w:sz w:val="21"/>
          <w:szCs w:val="21"/>
        </w:rPr>
        <w:t xml:space="preserve">POWS activities</w:t>
      </w:r>
      <w:r>
        <w:rPr>
          <w:rFonts w:ascii="Times New Roman" w:hAnsi="Times New Roman" w:cs="Times New Roman"/>
          <w:sz w:val="21"/>
          <w:szCs w:val="21"/>
        </w:rPr>
        <w:t xml:space="preserve"> at 270 </w:t>
      </w:r>
      <w:r>
        <w:rPr>
          <w:rFonts w:ascii="Times New Roman" w:hAnsi="Times New Roman" w:cs="Times New Roman"/>
          <w:sz w:val="21"/>
          <w:szCs w:val="21"/>
          <w:vertAlign w:val="superscript"/>
        </w:rPr>
        <w:t xml:space="preserve">o</w:t>
      </w:r>
      <w:r>
        <w:rPr>
          <w:rFonts w:ascii="Times New Roman" w:hAnsi="Times New Roman" w:cs="Times New Roman"/>
          <w:sz w:val="21"/>
          <w:szCs w:val="21"/>
        </w:rPr>
        <w:t xml:space="preserve">C</w:t>
      </w:r>
      <w:r>
        <w:rPr>
          <w:rFonts w:ascii="Times New Roman" w:hAnsi="Times New Roman" w:cs="Times New Roman"/>
          <w:sz w:val="21"/>
          <w:szCs w:val="21"/>
        </w:rPr>
        <w:t xml:space="preserve">, and we also illustrated the remarkable temperature effect which led to enhanced water dissociation and facilitated reaction kinetics</w:t>
      </w:r>
      <w:r>
        <w:rPr>
          <w:rFonts w:ascii="Times New Roman" w:hAnsi="Times New Roman" w:cs="Times New Roman"/>
          <w:sz w:val="21"/>
          <w:szCs w:val="21"/>
        </w:rPr>
        <w:fldChar w:fldCharType="begin"/>
      </w:r>
      <w:r>
        <w:rPr>
          <w:rFonts w:ascii="Times New Roman" w:hAnsi="Times New Roman" w:cs="Times New Roman"/>
          <w:sz w:val="21"/>
          <w:szCs w:val="21"/>
        </w:rPr>
        <w:instrText xml:space="preserve">ADDIN CSL_CITATION {"citationItems":[{"id":"ITEM-1","itemData":{"DOI":"10.1038/s41467-019-12385-1","ISSN":"20411723","abstract":"Photocatalytic water splitting is at</w:instrText>
      </w:r>
      <w:r>
        <w:rPr>
          <w:rFonts w:ascii="Times New Roman" w:hAnsi="Times New Roman" w:cs="Times New Roman"/>
          <w:sz w:val="21"/>
          <w:szCs w:val="21"/>
        </w:rPr>
        <w:instrText xml:space="preserve">tracting enormous interest for the storage of solar energy but no practical method has yet been identified. In the past decades, various systems have been developed but most of them suffer from low activities, a narrow range of absorption and poor quantum </w:instrText>
      </w:r>
      <w:r>
        <w:rPr>
          <w:rFonts w:ascii="Times New Roman" w:hAnsi="Times New Roman" w:cs="Times New Roman"/>
          <w:sz w:val="21"/>
          <w:szCs w:val="21"/>
        </w:rPr>
        <w:instrText xml:space="preserve">efficiencies (Q.E.) due to fast recombination of charge carriers. Here we report a dramatic suppression of electron-hole pair recombination on the surface of N-doped TiO2 based nanocatalysts under enhanced concentrations of H+ and OH−, and local electric f</w:instrText>
      </w:r>
      <w:r>
        <w:rPr>
          <w:rFonts w:ascii="Times New Roman" w:hAnsi="Times New Roman" w:cs="Times New Roman"/>
          <w:sz w:val="21"/>
          <w:szCs w:val="21"/>
        </w:rPr>
        <w:instrText xml:space="preserve">ield polarization of a MgO (111) support during photolysis of water at elevated temperatures. Thus, a broad optical absorption is seen, producing O2 and H2 in a 1:2 molar ratio with a H2 evolution rate of over 11,000 μmol g−1 h−1 without any sacrificial re</w:instrText>
      </w:r>
      <w:r>
        <w:rPr>
          <w:rFonts w:ascii="Times New Roman" w:hAnsi="Times New Roman" w:cs="Times New Roman"/>
          <w:sz w:val="21"/>
          <w:szCs w:val="21"/>
        </w:rPr>
        <w:instrText xml:space="preserve">agents at 270 °C. An exceptional range of Q.E. from 81.8% at 437 nm to 3.2% at 1000 nm is also reported.","author":[{"dropping-particle":"","family":"Li","given":"Yiyang","non-dropping-particle":"","parse-names":false,"suffix":""},{"dropping-particle":"","</w:instrText>
      </w:r>
      <w:r>
        <w:rPr>
          <w:rFonts w:ascii="Times New Roman" w:hAnsi="Times New Roman" w:cs="Times New Roman"/>
          <w:sz w:val="21"/>
          <w:szCs w:val="21"/>
        </w:rPr>
        <w:instrText xml:space="preserve">family":"Peng","given":"Yung-Kang","non-dropping-particle":"","parse-names":false,"suffix":""},{"dropping-particle":"","family":"Hu","given":"Liangsheng","non-dropping-particle":"","parse-names":false,"suffix":""},{"dropping-particle":"","family":"Zheng","</w:instrText>
      </w:r>
      <w:r>
        <w:rPr>
          <w:rFonts w:ascii="Times New Roman" w:hAnsi="Times New Roman" w:cs="Times New Roman"/>
          <w:sz w:val="21"/>
          <w:szCs w:val="21"/>
        </w:rPr>
        <w:instrText xml:space="preserve">given":"Jianwei","non-dropping-particle":"","parse-names":false,"suffix":""},{"dropping-particle":"","family":"Prabhakaran","given":"Dharmalingam","non-dropping-particle":"","parse-names":false,"suffix":""},{"dropping-particle":"","family":"Wu","given":"Si</w:instrText>
      </w:r>
      <w:r>
        <w:rPr>
          <w:rFonts w:ascii="Times New Roman" w:hAnsi="Times New Roman" w:cs="Times New Roman"/>
          <w:sz w:val="21"/>
          <w:szCs w:val="21"/>
        </w:rPr>
        <w:instrText xml:space="preserve">mson","non-dropping-particle":"","parse-names":false,"suffix":""},{"dropping-particle":"","family":"Puchtler","given":"Timothy J.","non-dropping-particle":"","parse-names":false,"suffix":""},{"dropping-particle":"","family":"Li","given":"Mo","non-dropping-</w:instrText>
      </w:r>
      <w:r>
        <w:rPr>
          <w:rFonts w:ascii="Times New Roman" w:hAnsi="Times New Roman" w:cs="Times New Roman"/>
          <w:sz w:val="21"/>
          <w:szCs w:val="21"/>
        </w:rPr>
        <w:instrText xml:space="preserve">particle":"","parse-names":false,"suffix":""},{"dropping-particle":"","family":"Wong","given":"Kwok-Yin","non-dropping-particle":"","parse-names":false,"suffix":""},{"dropping-particle":"","family":"Taylor","given":"Robert A.","non-dropping-particle":"","p</w:instrText>
      </w:r>
      <w:r>
        <w:rPr>
          <w:rFonts w:ascii="Times New Roman" w:hAnsi="Times New Roman" w:cs="Times New Roman"/>
          <w:sz w:val="21"/>
          <w:szCs w:val="21"/>
        </w:rPr>
        <w:instrText xml:space="preserve">arse-names":false,"suffix":""},{"dropping-particle":"","family":"Tsang","given":"Shik Chi Edman","non-dropping-particle":"","parse-names":false,"suffix":""}],"container-title":"Nature Communications","id":"ITEM-1","issued":{"date-parts":[["2019"]]},"page":</w:instrText>
      </w:r>
      <w:r>
        <w:rPr>
          <w:rFonts w:ascii="Times New Roman" w:hAnsi="Times New Roman" w:cs="Times New Roman"/>
          <w:sz w:val="21"/>
          <w:szCs w:val="21"/>
        </w:rPr>
        <w:instrText xml:space="preserve">"4421","title":"Photocatalytic water splitting by N-TiO2 on MgO (111) with exceptional quantum efficiencies at elevated temperatures","type":"article-journal","volume":"10"},"uris":["http://www.mendeley.com/documents/?uuid=056ce234-319b-4fc1-b7da-45ef91bf4</w:instrText>
      </w:r>
      <w:r>
        <w:rPr>
          <w:rFonts w:ascii="Times New Roman" w:hAnsi="Times New Roman" w:cs="Times New Roman"/>
          <w:sz w:val="21"/>
          <w:szCs w:val="21"/>
        </w:rPr>
        <w:instrText xml:space="preserve">e9e"]}],"mendeley":{"formattedCitation":"&lt;sup&gt;11&lt;/sup&gt;","plainTextFormattedCitation":"11","previouslyFormattedCitation":"&lt;sup&gt;11&lt;/sup&gt;"},"properties":{"noteIndex":0},"schema":"https://github.com/citation-style-language/schema/raw/master/csl-citation.json"}</w:instrText>
      </w:r>
      <w:r>
        <w:rPr>
          <w:rFonts w:ascii="Times New Roman" w:hAnsi="Times New Roman" w:cs="Times New Roman"/>
          <w:sz w:val="21"/>
          <w:szCs w:val="21"/>
        </w:rPr>
        <w:fldChar w:fldCharType="separate"/>
      </w:r>
      <w:r>
        <w:rPr>
          <w:rFonts w:ascii="Times New Roman" w:hAnsi="Times New Roman" w:cs="Times New Roman"/>
          <w:sz w:val="21"/>
          <w:szCs w:val="21"/>
          <w:vertAlign w:val="superscript"/>
        </w:rPr>
        <w:t xml:space="preserve">11</w:t>
      </w:r>
      <w:r>
        <w:rPr>
          <w:rFonts w:ascii="Times New Roman" w:hAnsi="Times New Roman" w:cs="Times New Roman"/>
          <w:sz w:val="21"/>
          <w:szCs w:val="21"/>
        </w:rPr>
        <w:fldChar w:fldCharType="end"/>
      </w:r>
      <w:r>
        <w:rPr>
          <w:rFonts w:ascii="Times New Roman" w:hAnsi="Times New Roman" w:cs="Times New Roman"/>
          <w:sz w:val="21"/>
          <w:szCs w:val="21"/>
        </w:rPr>
        <w:t xml:space="preserve">.</w:t>
      </w:r>
      <w:r>
        <w:rPr>
          <w:rFonts w:ascii="Times New Roman" w:hAnsi="Times New Roman" w:cs="Times New Roman"/>
          <w:sz w:val="21"/>
          <w:szCs w:val="21"/>
        </w:rPr>
        <w:t xml:space="preserve"> </w:t>
      </w:r>
      <w:r>
        <w:rPr>
          <w:rFonts w:ascii="Times New Roman" w:hAnsi="Times New Roman" w:cs="Times New Roman"/>
          <w:sz w:val="21"/>
          <w:szCs w:val="21"/>
        </w:rPr>
        <w:t xml:space="preserve">The use of </w:t>
      </w:r>
      <w:r>
        <w:rPr>
          <w:rFonts w:ascii="Times New Roman" w:hAnsi="Times New Roman" w:cs="Times New Roman"/>
          <w:sz w:val="21"/>
          <w:szCs w:val="21"/>
        </w:rPr>
        <w:t xml:space="preserve">m</w:t>
      </w:r>
      <w:r>
        <w:rPr>
          <w:rFonts w:ascii="Times New Roman" w:hAnsi="Times New Roman" w:cs="Times New Roman"/>
          <w:sz w:val="21"/>
          <w:szCs w:val="21"/>
        </w:rPr>
        <w:t xml:space="preserve">agnetic </w:t>
      </w:r>
      <w:r>
        <w:rPr>
          <w:rFonts w:ascii="Times New Roman" w:hAnsi="Times New Roman" w:cs="Times New Roman"/>
          <w:sz w:val="21"/>
          <w:szCs w:val="21"/>
        </w:rPr>
        <w:t xml:space="preserve">field as a non-contact technique </w:t>
      </w:r>
      <w:r>
        <w:rPr>
          <w:rFonts w:ascii="Times New Roman" w:hAnsi="Times New Roman" w:cs="Times New Roman"/>
          <w:sz w:val="21"/>
          <w:szCs w:val="21"/>
        </w:rPr>
        <w:t xml:space="preserve">has </w:t>
      </w:r>
      <w:r>
        <w:rPr>
          <w:rFonts w:ascii="Times New Roman" w:hAnsi="Times New Roman" w:cs="Times New Roman"/>
          <w:sz w:val="21"/>
          <w:szCs w:val="21"/>
        </w:rPr>
        <w:t xml:space="preserve">also</w:t>
      </w:r>
      <w:r>
        <w:rPr>
          <w:rFonts w:ascii="Times New Roman" w:hAnsi="Times New Roman" w:cs="Times New Roman"/>
          <w:sz w:val="21"/>
          <w:szCs w:val="21"/>
        </w:rPr>
        <w:t xml:space="preserve"> been </w:t>
      </w:r>
      <w:r>
        <w:rPr>
          <w:rFonts w:ascii="Times New Roman" w:hAnsi="Times New Roman" w:cs="Times New Roman"/>
          <w:sz w:val="21"/>
          <w:szCs w:val="21"/>
        </w:rPr>
        <w:t xml:space="preserve">studied </w:t>
      </w:r>
      <w:r>
        <w:rPr>
          <w:rFonts w:ascii="Times New Roman" w:hAnsi="Times New Roman" w:cs="Times New Roman"/>
          <w:sz w:val="21"/>
          <w:szCs w:val="21"/>
        </w:rPr>
        <w:t xml:space="preserve">in various chemical reactions </w:t>
      </w:r>
      <w:r>
        <w:rPr>
          <w:rFonts w:ascii="Times New Roman" w:hAnsi="Times New Roman" w:cs="Times New Roman"/>
          <w:sz w:val="21"/>
          <w:szCs w:val="21"/>
        </w:rPr>
        <w:t xml:space="preserve">since 1920s</w:t>
      </w:r>
      <w:r>
        <w:rPr>
          <w:rFonts w:ascii="Times New Roman" w:hAnsi="Times New Roman" w:cs="Times New Roman"/>
          <w:sz w:val="21"/>
          <w:szCs w:val="21"/>
        </w:rPr>
        <w:fldChar w:fldCharType="begin"/>
      </w:r>
      <w:r>
        <w:rPr>
          <w:rFonts w:ascii="Times New Roman" w:hAnsi="Times New Roman" w:cs="Times New Roman"/>
          <w:sz w:val="21"/>
          <w:szCs w:val="21"/>
        </w:rPr>
        <w:instrText xml:space="preserve">ADDIN CSL_CITATION {"citationItems":[{"id":"ITEM-1","itemData":{"DOI":"10.1021/cr60119a002","ISSN":"15206890","abstract":"The possibility of relations</w:instrText>
      </w:r>
      <w:r>
        <w:rPr>
          <w:rFonts w:ascii="Times New Roman" w:hAnsi="Times New Roman" w:cs="Times New Roman"/>
          <w:sz w:val="21"/>
          <w:szCs w:val="21"/>
        </w:rPr>
        <w:instrText xml:space="preserve">hips between catalytic activity on the one hand, and magnetic fields and magnetic properties on the other, has interested many workers. It cannot be denied that those chemical elements which show the most pronounced catalytic activity, namely, the transiti</w:instrText>
      </w:r>
      <w:r>
        <w:rPr>
          <w:rFonts w:ascii="Times New Roman" w:hAnsi="Times New Roman" w:cs="Times New Roman"/>
          <w:sz w:val="21"/>
          <w:szCs w:val="21"/>
        </w:rPr>
        <w:instrText xml:space="preserve">on group elements, are also the elements which show the most interesting magnetic properties. In at least one case, the ortho-para hydrogen conversion, there is a clear-cut relationship between magnetic moment and catalytic activity. This is not to say tha</w:instrText>
      </w:r>
      <w:r>
        <w:rPr>
          <w:rFonts w:ascii="Times New Roman" w:hAnsi="Times New Roman" w:cs="Times New Roman"/>
          <w:sz w:val="21"/>
          <w:szCs w:val="21"/>
        </w:rPr>
        <w:instrText xml:space="preserve">t all catalytic activity is due to magnetism. It may yet appear that catalysis and magnetism are different manifestations of some more fundamental atomic property. But for the present, the chief applications of magnetism to catalysis are in structural stud</w:instrText>
      </w:r>
      <w:r>
        <w:rPr>
          <w:rFonts w:ascii="Times New Roman" w:hAnsi="Times New Roman" w:cs="Times New Roman"/>
          <w:sz w:val="21"/>
          <w:szCs w:val="21"/>
        </w:rPr>
        <w:instrText xml:space="preserve">ies of catalytic solids. A review of such applications, and of certain related effects, is the purpose of this article. Susceptibility data are included for some substances of major catalytic interest. © 1946, American Chemical Society. All rights reserved</w:instrText>
      </w:r>
      <w:r>
        <w:rPr>
          <w:rFonts w:ascii="Times New Roman" w:hAnsi="Times New Roman" w:cs="Times New Roman"/>
          <w:sz w:val="21"/>
          <w:szCs w:val="21"/>
        </w:rPr>
        <w:instrText xml:space="preserve">.","author":[{"dropping-particle":"","family":"Selwood","given":"P. W.","non-dropping-particle":"","parse-names":false,"suffix":""}],"container-title":"Chemical Reviews","id":"ITEM-1","issue":"1","issued":{"date-parts":[["1946"]]},"page":"41-82","title":"M</w:instrText>
      </w:r>
      <w:r>
        <w:rPr>
          <w:rFonts w:ascii="Times New Roman" w:hAnsi="Times New Roman" w:cs="Times New Roman"/>
          <w:sz w:val="21"/>
          <w:szCs w:val="21"/>
        </w:rPr>
        <w:instrText xml:space="preserve">agnetism and catalysis","type":"article-journal","volume":"38"},"uris":["http://www.mendeley.com/documents/?uuid=80cf28d4-ec4c-43b1-8155-44e18be3c2b4"]},{"id":"ITEM-2","itemData":{"DOI":"10.1021/cr00091a003","ISSN":"15206890","author":[{"dropping-particle"</w:instrText>
      </w:r>
      <w:r>
        <w:rPr>
          <w:rFonts w:ascii="Times New Roman" w:hAnsi="Times New Roman" w:cs="Times New Roman"/>
          <w:sz w:val="21"/>
          <w:szCs w:val="21"/>
        </w:rPr>
        <w:instrText xml:space="preserve">:"","family":"Steiner","given":"Ulrich E.","non-dropping-particle":"","parse-names":false,"suffix":""},{"dropping-particle":"","family":"Ulrich","given":"Thomas","non-dropping-particle":"","parse-names":false,"suffix":""}],"container-title":"Chemical Revie</w:instrText>
      </w:r>
      <w:r>
        <w:rPr>
          <w:rFonts w:ascii="Times New Roman" w:hAnsi="Times New Roman" w:cs="Times New Roman"/>
          <w:sz w:val="21"/>
          <w:szCs w:val="21"/>
        </w:rPr>
        <w:instrText xml:space="preserve">ws","id":"ITEM-2","issue":"1","issued":{"date-parts":[["1989"]]},"page":"51-147","title":"Magnetic Field Effects in Chemical Kinetics and Related Phenomena","type":"article-journal","volume":"89"},"uris":["http://www.mendeley.com/documents/?uuid=179a5e29-3</w:instrText>
      </w:r>
      <w:r>
        <w:rPr>
          <w:rFonts w:ascii="Times New Roman" w:hAnsi="Times New Roman" w:cs="Times New Roman"/>
          <w:sz w:val="21"/>
          <w:szCs w:val="21"/>
        </w:rPr>
        <w:instrText xml:space="preserve">826-45f6-9215-7c8f77f1f724"]},{"id":"ITEM-3","itemData":{"DOI":"10.1016/j.cattod.2014.12.048","ISSN":"09205861","abstract":"Magnetic field effect (MFE) on heterogeneous photocatalysis is investigated, using mostly ZnO powder and methylene blue (MB) solutio</w:instrText>
      </w:r>
      <w:r>
        <w:rPr>
          <w:rFonts w:ascii="Times New Roman" w:hAnsi="Times New Roman" w:cs="Times New Roman"/>
          <w:sz w:val="21"/>
          <w:szCs w:val="21"/>
        </w:rPr>
        <w:instrText xml:space="preserve">n. Reproducibility with errors less than 2% is obtained with our newly-developed in-situ measurement system. Multiple parameters are involved in MFE phenomena. MFE magnitude depends on magnetic field intensity, while other parameters are also important, in</w:instrText>
      </w:r>
      <w:r>
        <w:rPr>
          <w:rFonts w:ascii="Times New Roman" w:hAnsi="Times New Roman" w:cs="Times New Roman"/>
          <w:sz w:val="21"/>
          <w:szCs w:val="21"/>
        </w:rPr>
        <w:instrText xml:space="preserve">cluding: initial MB concentration, settling time of solution, and level/state of dissolved oxygen (DO). Short-range-order, or very-short-range-order diffusion in the Helmholtz layer just outside powder appears responsible for MFE. Accordingly, powder surfa</w:instrText>
      </w:r>
      <w:r>
        <w:rPr>
          <w:rFonts w:ascii="Times New Roman" w:hAnsi="Times New Roman" w:cs="Times New Roman"/>
          <w:sz w:val="21"/>
          <w:szCs w:val="21"/>
        </w:rPr>
        <w:instrText xml:space="preserve">ce conditions, e.g. H2O, CO2 adsorption, significantly influence MFE, and magnetic adsorption appears correlated. Temperature-dependent MFE and magneto-hydrodynamic effect on photocatalytic silver reduction/deposition are also observed for the first time. </w:instrText>
      </w:r>
      <w:r>
        <w:rPr>
          <w:rFonts w:ascii="Times New Roman" w:hAnsi="Times New Roman" w:cs="Times New Roman"/>
          <w:sz w:val="21"/>
          <w:szCs w:val="21"/>
        </w:rPr>
        <w:instrText xml:space="preserve">A model is proposed, whereby, in the volume in close proximate to the powder, electrostatic potential and the corresponding magnetic flux would be perturbed, resulting in the appearance of a net Lorentz force on paramagnetic DO, which is essentially respon</w:instrText>
      </w:r>
      <w:r>
        <w:rPr>
          <w:rFonts w:ascii="Times New Roman" w:hAnsi="Times New Roman" w:cs="Times New Roman"/>
          <w:sz w:val="21"/>
          <w:szCs w:val="21"/>
        </w:rPr>
        <w:instrText xml:space="preserve">sible for various MFE phenomena (OANS model). DO could be involved with (i) formation of DO-dye complex, (ii) modifying powder adsorption layer, (iii) scavenging rate of excited electrons, (iv) spin chemistry involving singlet-triplet conversion, and (v) m</w:instrText>
      </w:r>
      <w:r>
        <w:rPr>
          <w:rFonts w:ascii="Times New Roman" w:hAnsi="Times New Roman" w:cs="Times New Roman"/>
          <w:sz w:val="21"/>
          <w:szCs w:val="21"/>
        </w:rPr>
        <w:instrText xml:space="preserve">anifestation of magneto-hydrodynamic effect. Simultaneous multiple mechanisms are suggested for MFE.","author":[{"dropping-particle":"","family":"Okumura","given":"H.","non-dropping-particle":"","parse-names":false,"suffix":""},{"dropping-particle":"","fam</w:instrText>
      </w:r>
      <w:r>
        <w:rPr>
          <w:rFonts w:ascii="Times New Roman" w:hAnsi="Times New Roman" w:cs="Times New Roman"/>
          <w:sz w:val="21"/>
          <w:szCs w:val="21"/>
        </w:rPr>
        <w:instrText xml:space="preserve">ily":"Endo","given":"S.","non-dropping-particle":"","parse-names":false,"suffix":""},{"dropping-particle":"","family":"Joonwichien","given":"S.","non-dropping-particle":"","parse-names":false,"suffix":""},{"dropping-particle":"","family":"Yamasue","given":</w:instrText>
      </w:r>
      <w:r>
        <w:rPr>
          <w:rFonts w:ascii="Times New Roman" w:hAnsi="Times New Roman" w:cs="Times New Roman"/>
          <w:sz w:val="21"/>
          <w:szCs w:val="21"/>
        </w:rPr>
        <w:instrText xml:space="preserve">"E.","non-dropping-particle":"","parse-names":false,"suffix":""},{"dropping-particle":"","family":"Ishihara","given":"K. N.","non-dropping-particle":"","parse-names":false,"suffix":""}],"container-title":"Catalysis Today","id":"ITEM-3","issued":{"date-part</w:instrText>
      </w:r>
      <w:r>
        <w:rPr>
          <w:rFonts w:ascii="Times New Roman" w:hAnsi="Times New Roman" w:cs="Times New Roman"/>
          <w:sz w:val="21"/>
          <w:szCs w:val="21"/>
        </w:rPr>
        <w:instrText xml:space="preserve">s":[["2015"]]},"page":"634-647","publisher":"Elsevier B.V.","title":"Magnetic field effect on heterogeneous photocatalysis","type":"article-journal","volume":"258"},"uris":["http://www.mendeley.com/documents/?uuid=4576cc8a-6846-4cb1-bb77-49c5b792575a"]}],"</w:instrText>
      </w:r>
      <w:r>
        <w:rPr>
          <w:rFonts w:ascii="Times New Roman" w:hAnsi="Times New Roman" w:cs="Times New Roman"/>
          <w:sz w:val="21"/>
          <w:szCs w:val="21"/>
        </w:rPr>
        <w:instrText xml:space="preserve">mendeley":{"formattedCitation":"&lt;sup&gt;20–22&lt;/sup&gt;","plainTextFormattedCitation":"20–22","previouslyFormattedCitation":"&lt;sup&gt;20–22&lt;/sup&gt;"},"properties":{"noteIndex":0},"schema":"https://github.com/citation-style-language/schema/raw/master/csl-citation.json"}</w:instrText>
      </w:r>
      <w:r>
        <w:rPr>
          <w:rFonts w:ascii="Times New Roman" w:hAnsi="Times New Roman" w:cs="Times New Roman"/>
          <w:sz w:val="21"/>
          <w:szCs w:val="21"/>
        </w:rPr>
        <w:fldChar w:fldCharType="separate"/>
      </w:r>
      <w:r>
        <w:rPr>
          <w:rFonts w:ascii="Times New Roman" w:hAnsi="Times New Roman" w:cs="Times New Roman"/>
          <w:sz w:val="21"/>
          <w:szCs w:val="21"/>
          <w:vertAlign w:val="superscript"/>
        </w:rPr>
        <w:t xml:space="preserve">20–22</w:t>
      </w:r>
      <w:r>
        <w:rPr>
          <w:rFonts w:ascii="Times New Roman" w:hAnsi="Times New Roman" w:cs="Times New Roman"/>
          <w:sz w:val="21"/>
          <w:szCs w:val="21"/>
        </w:rPr>
        <w:fldChar w:fldCharType="end"/>
      </w:r>
      <w:r>
        <w:rPr>
          <w:rFonts w:ascii="Times New Roman" w:hAnsi="Times New Roman" w:cs="Times New Roman"/>
          <w:sz w:val="21"/>
          <w:szCs w:val="21"/>
        </w:rPr>
        <w:t xml:space="preserve">,</w:t>
      </w:r>
      <w:r>
        <w:rPr>
          <w:rFonts w:ascii="Times New Roman" w:hAnsi="Times New Roman" w:cs="Times New Roman"/>
          <w:sz w:val="21"/>
          <w:szCs w:val="21"/>
        </w:rPr>
        <w:t xml:space="preserve"> </w:t>
      </w:r>
      <w:r>
        <w:rPr>
          <w:rFonts w:ascii="Times New Roman" w:hAnsi="Times New Roman" w:cs="Times New Roman"/>
          <w:sz w:val="21"/>
          <w:szCs w:val="21"/>
        </w:rPr>
        <w:t xml:space="preserve">h</w:t>
      </w:r>
      <w:r>
        <w:rPr>
          <w:rFonts w:ascii="Times New Roman" w:hAnsi="Times New Roman" w:cs="Times New Roman"/>
          <w:sz w:val="21"/>
          <w:szCs w:val="21"/>
        </w:rPr>
        <w:t xml:space="preserve">owever, </w:t>
      </w:r>
      <w:r>
        <w:rPr>
          <w:rFonts w:ascii="Times New Roman" w:hAnsi="Times New Roman" w:cs="Times New Roman"/>
          <w:sz w:val="21"/>
          <w:szCs w:val="21"/>
        </w:rPr>
        <w:t xml:space="preserve">the </w:t>
      </w:r>
      <w:r>
        <w:rPr>
          <w:rFonts w:ascii="Times New Roman" w:hAnsi="Times New Roman" w:cs="Times New Roman"/>
          <w:sz w:val="21"/>
          <w:szCs w:val="21"/>
        </w:rPr>
        <w:t xml:space="preserve">m</w:t>
      </w:r>
      <w:r>
        <w:rPr>
          <w:rFonts w:ascii="Times New Roman" w:hAnsi="Times New Roman" w:cs="Times New Roman"/>
          <w:sz w:val="21"/>
          <w:szCs w:val="21"/>
        </w:rPr>
        <w:t xml:space="preserve">agnetic </w:t>
      </w:r>
      <w:r>
        <w:rPr>
          <w:rFonts w:ascii="Times New Roman" w:hAnsi="Times New Roman" w:cs="Times New Roman"/>
          <w:sz w:val="21"/>
          <w:szCs w:val="21"/>
        </w:rPr>
        <w:t xml:space="preserve">field </w:t>
      </w:r>
      <w:r>
        <w:rPr>
          <w:rFonts w:ascii="Times New Roman" w:hAnsi="Times New Roman" w:cs="Times New Roman"/>
          <w:sz w:val="21"/>
          <w:szCs w:val="21"/>
        </w:rPr>
        <w:t xml:space="preserve">effect</w:t>
      </w:r>
      <w:r>
        <w:rPr>
          <w:rFonts w:ascii="Times New Roman" w:hAnsi="Times New Roman" w:cs="Times New Roman"/>
          <w:sz w:val="21"/>
          <w:szCs w:val="21"/>
        </w:rPr>
        <w:t xml:space="preserve">s (MFEs)</w:t>
      </w:r>
      <w:r>
        <w:rPr>
          <w:rFonts w:ascii="Times New Roman" w:hAnsi="Times New Roman" w:cs="Times New Roman" w:hint="eastAsia"/>
          <w:sz w:val="21"/>
          <w:szCs w:val="21"/>
        </w:rPr>
        <w:t xml:space="preserve"> </w:t>
      </w:r>
      <w:r>
        <w:rPr>
          <w:rFonts w:ascii="Times New Roman" w:hAnsi="Times New Roman" w:cs="Times New Roman"/>
          <w:sz w:val="21"/>
          <w:szCs w:val="21"/>
        </w:rPr>
        <w:t xml:space="preserve">have</w:t>
      </w:r>
      <w:r>
        <w:rPr>
          <w:rFonts w:ascii="Times New Roman" w:hAnsi="Times New Roman" w:cs="Times New Roman"/>
          <w:sz w:val="21"/>
          <w:szCs w:val="21"/>
        </w:rPr>
        <w:t xml:space="preserve"> scarcely</w:t>
      </w:r>
      <w:r>
        <w:rPr>
          <w:rFonts w:ascii="Times New Roman" w:hAnsi="Times New Roman" w:cs="Times New Roman"/>
          <w:sz w:val="21"/>
          <w:szCs w:val="21"/>
        </w:rPr>
        <w:t xml:space="preserve"> been explore</w:t>
      </w:r>
      <w:r>
        <w:rPr>
          <w:rFonts w:ascii="Times New Roman" w:hAnsi="Times New Roman" w:cs="Times New Roman"/>
          <w:sz w:val="21"/>
          <w:szCs w:val="21"/>
        </w:rPr>
        <w:t xml:space="preserve">d in POWS reaction, because </w:t>
      </w:r>
      <w:r>
        <w:rPr>
          <w:rFonts w:ascii="Times New Roman" w:hAnsi="Times New Roman" w:cs="Times New Roman"/>
          <w:sz w:val="21"/>
          <w:szCs w:val="21"/>
        </w:rPr>
        <w:t xml:space="preserve">it is generally believed that </w:t>
      </w:r>
      <w:r>
        <w:rPr>
          <w:rFonts w:ascii="Times New Roman" w:hAnsi="Times New Roman" w:cs="Times New Roman"/>
          <w:sz w:val="21"/>
          <w:szCs w:val="21"/>
        </w:rPr>
        <w:t xml:space="preserve">Zeeman energy produced by magnetic field is negligible </w:t>
      </w:r>
      <w:r>
        <w:rPr>
          <w:rFonts w:ascii="Times New Roman" w:hAnsi="Times New Roman" w:cs="Times New Roman"/>
          <w:sz w:val="21"/>
          <w:szCs w:val="21"/>
        </w:rPr>
        <w:t xml:space="preserve">compared with </w:t>
      </w:r>
      <w:r>
        <w:rPr>
          <w:rFonts w:ascii="Times New Roman" w:hAnsi="Times New Roman" w:cs="Times New Roman"/>
          <w:sz w:val="21"/>
          <w:szCs w:val="21"/>
        </w:rPr>
        <w:t xml:space="preserve">Gibbs free </w:t>
      </w:r>
      <w:r>
        <w:rPr>
          <w:rFonts w:ascii="Times New Roman" w:hAnsi="Times New Roman" w:cs="Times New Roman"/>
          <w:sz w:val="21"/>
          <w:szCs w:val="21"/>
        </w:rPr>
        <w:t xml:space="preserve">energy of </w:t>
      </w:r>
      <w:r>
        <w:rPr>
          <w:rFonts w:ascii="Times New Roman" w:hAnsi="Times New Roman" w:cs="Times New Roman"/>
          <w:sz w:val="21"/>
          <w:szCs w:val="21"/>
        </w:rPr>
        <w:t xml:space="preserve">POWS</w:t>
      </w:r>
      <w:r>
        <w:rPr>
          <w:rFonts w:ascii="Times New Roman" w:hAnsi="Times New Roman" w:cs="Times New Roman"/>
          <w:sz w:val="21"/>
          <w:szCs w:val="21"/>
        </w:rPr>
        <w:t xml:space="preserve"> (ca. 273 kJ mol</w:t>
      </w:r>
      <w:r>
        <w:rPr>
          <w:rFonts w:ascii="Times New Roman" w:hAnsi="Times New Roman" w:cs="Times New Roman"/>
          <w:sz w:val="21"/>
          <w:szCs w:val="21"/>
          <w:vertAlign w:val="superscript"/>
        </w:rPr>
        <w:t xml:space="preserve">-1</w:t>
      </w:r>
      <w:r>
        <w:rPr>
          <w:rFonts w:ascii="Times New Roman" w:hAnsi="Times New Roman" w:cs="Times New Roman"/>
          <w:sz w:val="21"/>
          <w:szCs w:val="21"/>
        </w:rPr>
        <w:t xml:space="preserve">)</w:t>
      </w:r>
      <w:r>
        <w:rPr>
          <w:rFonts w:ascii="Times New Roman" w:hAnsi="Times New Roman" w:cs="Times New Roman"/>
          <w:sz w:val="21"/>
          <w:szCs w:val="21"/>
        </w:rPr>
        <w:t xml:space="preserve">, thus </w:t>
      </w:r>
      <w:r>
        <w:rPr>
          <w:rFonts w:ascii="Times New Roman" w:hAnsi="Times New Roman" w:cs="Times New Roman"/>
          <w:sz w:val="21"/>
          <w:szCs w:val="21"/>
        </w:rPr>
        <w:t xml:space="preserve">it cannot alter</w:t>
      </w:r>
      <w:r>
        <w:rPr>
          <w:rFonts w:ascii="Times New Roman" w:hAnsi="Times New Roman" w:cs="Times New Roman"/>
          <w:sz w:val="21"/>
          <w:szCs w:val="21"/>
        </w:rPr>
        <w:t xml:space="preserve"> </w:t>
      </w:r>
      <w:r>
        <w:rPr>
          <w:rFonts w:ascii="Times New Roman" w:hAnsi="Times New Roman" w:cs="Times New Roman"/>
          <w:sz w:val="21"/>
          <w:szCs w:val="21"/>
        </w:rPr>
        <w:t xml:space="preserve">direct </w:t>
      </w:r>
      <w:r>
        <w:rPr>
          <w:rFonts w:ascii="Times New Roman" w:hAnsi="Times New Roman" w:cs="Times New Roman"/>
          <w:sz w:val="21"/>
          <w:szCs w:val="21"/>
        </w:rPr>
        <w:t xml:space="preserve">exc</w:t>
      </w:r>
      <w:r>
        <w:rPr>
          <w:rFonts w:ascii="Times New Roman" w:hAnsi="Times New Roman" w:cs="Times New Roman"/>
          <w:sz w:val="21"/>
          <w:szCs w:val="21"/>
        </w:rPr>
        <w:t xml:space="preserve">itation </w:t>
      </w:r>
      <w:r>
        <w:rPr>
          <w:rFonts w:ascii="Times New Roman" w:hAnsi="Times New Roman" w:cs="Times New Roman"/>
          <w:sz w:val="21"/>
          <w:szCs w:val="21"/>
        </w:rPr>
        <w:t xml:space="preserve">hence no significant </w:t>
      </w:r>
      <w:r>
        <w:rPr>
          <w:rFonts w:ascii="Times New Roman" w:hAnsi="Times New Roman" w:cs="Times New Roman"/>
          <w:sz w:val="21"/>
          <w:szCs w:val="21"/>
        </w:rPr>
        <w:t xml:space="preserve">con</w:t>
      </w:r>
      <w:r>
        <w:rPr>
          <w:rFonts w:ascii="Times New Roman" w:hAnsi="Times New Roman" w:cs="Times New Roman"/>
          <w:sz w:val="21"/>
          <w:szCs w:val="21"/>
        </w:rPr>
        <w:t xml:space="preserve">tribution</w:t>
      </w:r>
      <w:r>
        <w:rPr>
          <w:rFonts w:ascii="Times New Roman" w:hAnsi="Times New Roman" w:cs="Times New Roman"/>
          <w:sz w:val="21"/>
          <w:szCs w:val="21"/>
        </w:rPr>
        <w:fldChar w:fldCharType="begin"/>
      </w:r>
      <w:r>
        <w:rPr>
          <w:rFonts w:ascii="Times New Roman" w:hAnsi="Times New Roman" w:cs="Times New Roman"/>
          <w:sz w:val="21"/>
          <w:szCs w:val="21"/>
        </w:rPr>
        <w:instrText xml:space="preserve">ADDIN CSL_CITATION {"citationItems":[{"id":"ITEM-1","itemData":{"DOI":"10.1021/acsnano.7b08770","ISSN":"1936086X","abstract":"The promotion of magnetic field on catalytic performance has attracted extensive attenti</w:instrText>
      </w:r>
      <w:r>
        <w:rPr>
          <w:rFonts w:ascii="Times New Roman" w:hAnsi="Times New Roman" w:cs="Times New Roman"/>
          <w:sz w:val="21"/>
          <w:szCs w:val="21"/>
        </w:rPr>
        <w:instrText xml:space="preserve">on for a long time, and substantial improvements have been achieved in some catalysis fields. However, because the Zeeman energy is several orders of magnitude weaker, magnetic field seems unable to alter the band structure and has a negligible effect on s</w:instrText>
      </w:r>
      <w:r>
        <w:rPr>
          <w:rFonts w:ascii="Times New Roman" w:hAnsi="Times New Roman" w:cs="Times New Roman"/>
          <w:sz w:val="21"/>
          <w:szCs w:val="21"/>
        </w:rPr>
        <w:instrText xml:space="preserve">emiconductor photocatalytic performance, which makes this task a great challenge. On the other hand, the spin-related behavior usually plays an important role in determining catalytic performance. For example, in some molecular catalysis, such as photosyst</w:instrText>
      </w:r>
      <w:r>
        <w:rPr>
          <w:rFonts w:ascii="Times New Roman" w:hAnsi="Times New Roman" w:cs="Times New Roman"/>
          <w:sz w:val="21"/>
          <w:szCs w:val="21"/>
        </w:rPr>
        <w:instrText xml:space="preserve">em II, ferromagnetic alignment of the active material results in spin-oriented electrons, which are selected and accumulated at the interface, leading to great promotion of the oxygen evolution reaction activity. Here, we propose a magnetoresistance-relate</w:instrText>
      </w:r>
      <w:r>
        <w:rPr>
          <w:rFonts w:ascii="Times New Roman" w:hAnsi="Times New Roman" w:cs="Times New Roman"/>
          <w:sz w:val="21"/>
          <w:szCs w:val="21"/>
        </w:rPr>
        <w:instrText xml:space="preserve">d strategy to boost the carrier transfer efficiency and apply it in α-Fe2O3/reduced graphene oxide hybrid nanostructures (α-Fe2O3/rGO) to improve the photocatalytic performance under magnetic field. We show that both the degradation rate constant and photo</w:instrText>
      </w:r>
      <w:r>
        <w:rPr>
          <w:rFonts w:ascii="Times New Roman" w:hAnsi="Times New Roman" w:cs="Times New Roman"/>
          <w:sz w:val="21"/>
          <w:szCs w:val="21"/>
        </w:rPr>
        <w:instrText xml:space="preserve">current density of α-Fe2O3/rGO can be dramatically enhanced with the application of magnetic field, indicating the promotion of the photocatalytic performance.","author":[{"dropping-particle":"","family":"Li","given":"Jun","non-dropping-particle":"","parse</w:instrText>
      </w:r>
      <w:r>
        <w:rPr>
          <w:rFonts w:ascii="Times New Roman" w:hAnsi="Times New Roman" w:cs="Times New Roman"/>
          <w:sz w:val="21"/>
          <w:szCs w:val="21"/>
        </w:rPr>
        <w:instrText xml:space="preserve">-names":false,"suffix":""},{"dropping-particle":"","family":"Pei","given":"Qi","non-dropping-particle":"","parse-names":false,"suffix":""},{"dropping-particle":"","family":"Wang","given":"Ruyi","non-dropping-particle":"","parse-names":false,"suffix":""},{"</w:instrText>
      </w:r>
      <w:r>
        <w:rPr>
          <w:rFonts w:ascii="Times New Roman" w:hAnsi="Times New Roman" w:cs="Times New Roman"/>
          <w:sz w:val="21"/>
          <w:szCs w:val="21"/>
        </w:rPr>
        <w:instrText xml:space="preserve">dropping-particle":"","family":"Zhou","given":"Yong","non-dropping-particle":"","parse-names":false,"suffix":""},{"dropping-particle":"","family":"Zhang","given":"Zhengming","non-dropping-particle":"","parse-names":false,"suffix":""},{"dropping-particle":"</w:instrText>
      </w:r>
      <w:r>
        <w:rPr>
          <w:rFonts w:ascii="Times New Roman" w:hAnsi="Times New Roman" w:cs="Times New Roman"/>
          <w:sz w:val="21"/>
          <w:szCs w:val="21"/>
        </w:rPr>
        <w:instrText xml:space="preserve">","family":"Cao","given":"Qingqi","non-dropping-particle":"","parse-names":false,"suffix":""},{"dropping-particle":"","family":"Wang","given":"Dunhui","non-dropping-particle":"","parse-names":false,"suffix":""},{"dropping-particle":"","family":"Mi","given"</w:instrText>
      </w:r>
      <w:r>
        <w:rPr>
          <w:rFonts w:ascii="Times New Roman" w:hAnsi="Times New Roman" w:cs="Times New Roman"/>
          <w:sz w:val="21"/>
          <w:szCs w:val="21"/>
        </w:rPr>
        <w:instrText xml:space="preserve">:"Wenbo","non-dropping-particle":"","parse-names":false,"suffix":""},{"dropping-particle":"","family":"Du","given":"Youwei","non-dropping-particle":"","parse-names":false,"suffix":""}],"container-title":"ACS Nano","id":"ITEM-1","issue":"4","issued":{"date-</w:instrText>
      </w:r>
      <w:r>
        <w:rPr>
          <w:rFonts w:ascii="Times New Roman" w:hAnsi="Times New Roman" w:cs="Times New Roman"/>
          <w:sz w:val="21"/>
          <w:szCs w:val="21"/>
        </w:rPr>
        <w:instrText xml:space="preserve">parts":[["2018"]]},"page":"3351–3359","title":"Enhanced Photocatalytic Performance through Magnetic Field Boosting Carrier Transport","type":"article-journal","volume":"12"},"uris":["http://www.mendeley.com/documents/?uuid=44f94bb5-7a04-4b70-9c16-00afea927</w:instrText>
      </w:r>
      <w:r>
        <w:rPr>
          <w:rFonts w:ascii="Times New Roman" w:hAnsi="Times New Roman" w:cs="Times New Roman"/>
          <w:sz w:val="21"/>
          <w:szCs w:val="21"/>
        </w:rPr>
        <w:instrText xml:space="preserve">337"]}],"mendeley":{"formattedCitation":"&lt;sup&gt;23&lt;/sup&gt;","plainTextFormattedCitation":"23","previouslyFormattedCitation":"&lt;sup&gt;23&lt;/sup&gt;"},"properties":{"noteIndex":0},"schema":"https://github.com/citation-style-language/schema/raw/master/csl-citation.json"}</w:instrText>
      </w:r>
      <w:r>
        <w:rPr>
          <w:rFonts w:ascii="Times New Roman" w:hAnsi="Times New Roman" w:cs="Times New Roman"/>
          <w:sz w:val="21"/>
          <w:szCs w:val="21"/>
        </w:rPr>
        <w:fldChar w:fldCharType="separate"/>
      </w:r>
      <w:r>
        <w:rPr>
          <w:rFonts w:ascii="Times New Roman" w:hAnsi="Times New Roman" w:cs="Times New Roman"/>
          <w:sz w:val="21"/>
          <w:szCs w:val="21"/>
          <w:vertAlign w:val="superscript"/>
        </w:rPr>
        <w:t xml:space="preserve">23</w:t>
      </w:r>
      <w:r>
        <w:rPr>
          <w:rFonts w:ascii="Times New Roman" w:hAnsi="Times New Roman" w:cs="Times New Roman"/>
          <w:sz w:val="21"/>
          <w:szCs w:val="21"/>
        </w:rPr>
        <w:fldChar w:fldCharType="end"/>
      </w:r>
      <w:r>
        <w:rPr>
          <w:rFonts w:ascii="Times New Roman" w:hAnsi="Times New Roman" w:cs="Times New Roman"/>
          <w:sz w:val="21"/>
          <w:szCs w:val="21"/>
        </w:rPr>
        <w:t xml:space="preserve">. </w:t>
      </w:r>
      <w:r>
        <w:rPr>
          <w:rFonts w:ascii="Times New Roman" w:hAnsi="Times New Roman" w:cs="Times New Roman"/>
          <w:sz w:val="21"/>
          <w:szCs w:val="21"/>
        </w:rPr>
        <w:t xml:space="preserve">Thus,</w:t>
      </w:r>
      <w:r>
        <w:rPr>
          <w:rFonts w:ascii="Times New Roman" w:hAnsi="Times New Roman" w:cs="Times New Roman"/>
          <w:sz w:val="21"/>
          <w:szCs w:val="21"/>
        </w:rPr>
        <w:t xml:space="preserve"> the MFEs has </w:t>
      </w:r>
      <w:r>
        <w:rPr>
          <w:rFonts w:ascii="Times New Roman" w:hAnsi="Times New Roman" w:cs="Times New Roman"/>
          <w:sz w:val="21"/>
          <w:szCs w:val="21"/>
        </w:rPr>
        <w:t xml:space="preserve">only </w:t>
      </w:r>
      <w:r>
        <w:rPr>
          <w:rFonts w:ascii="Times New Roman" w:hAnsi="Times New Roman" w:cs="Times New Roman"/>
          <w:sz w:val="21"/>
          <w:szCs w:val="21"/>
        </w:rPr>
        <w:t xml:space="preserve">been briefly </w:t>
      </w:r>
      <w:r>
        <w:rPr>
          <w:rFonts w:ascii="Times New Roman" w:hAnsi="Times New Roman" w:cs="Times New Roman"/>
          <w:sz w:val="21"/>
          <w:szCs w:val="21"/>
        </w:rPr>
        <w:t xml:space="preserve">studied in</w:t>
      </w:r>
      <w:r>
        <w:rPr>
          <w:rFonts w:ascii="Times New Roman" w:hAnsi="Times New Roman" w:cs="Times New Roman"/>
          <w:sz w:val="21"/>
          <w:szCs w:val="21"/>
        </w:rPr>
        <w:t xml:space="preserve"> other </w:t>
      </w:r>
      <w:r>
        <w:rPr>
          <w:rFonts w:ascii="Times New Roman" w:hAnsi="Times New Roman" w:cs="Times New Roman"/>
          <w:sz w:val="21"/>
          <w:szCs w:val="21"/>
        </w:rPr>
        <w:t xml:space="preserve">photocatalytic reactions</w:t>
      </w:r>
      <w:r>
        <w:rPr>
          <w:rFonts w:ascii="Times New Roman" w:hAnsi="Times New Roman" w:cs="Times New Roman"/>
          <w:sz w:val="21"/>
          <w:szCs w:val="21"/>
        </w:rPr>
        <w:fldChar w:fldCharType="begin"/>
      </w:r>
      <w:r>
        <w:rPr>
          <w:rFonts w:ascii="Times New Roman" w:hAnsi="Times New Roman" w:cs="Times New Roman"/>
          <w:sz w:val="21"/>
          <w:szCs w:val="21"/>
        </w:rPr>
        <w:instrText xml:space="preserve">ADDIN CSL_CITATION {"citationItems":[{"id":"ITEM-1","itemData":{"DOI":"10.1002/advs.201901244","ISSN":"21983844","abstract":"Suppressing the recombination of photogenerated charges is one of the most important routes for enhancing the cat</w:instrText>
      </w:r>
      <w:r>
        <w:rPr>
          <w:rFonts w:ascii="Times New Roman" w:hAnsi="Times New Roman" w:cs="Times New Roman"/>
          <w:sz w:val="21"/>
          <w:szCs w:val="21"/>
        </w:rPr>
        <w:instrText xml:space="preserve">alytic performance of semiconductor photocatalysts. In addition to the built-in field produced by semiconductor heterostructures and the photo-electrocatalysis realized by applying an external electrical potential to photocatalysts assembled on electrodes,</w:instrText>
      </w:r>
      <w:r>
        <w:rPr>
          <w:rFonts w:ascii="Times New Roman" w:hAnsi="Times New Roman" w:cs="Times New Roman"/>
          <w:sz w:val="21"/>
          <w:szCs w:val="21"/>
        </w:rPr>
        <w:instrText xml:space="preserve"> other strategies are waiting to be scientifically explored and understood. In this work, a Lorentz force–assisted charge carrier separation enhancement strategy is reported to improve the photocatalytic efficiency by applying a magnetic field to a photoca</w:instrText>
      </w:r>
      <w:r>
        <w:rPr>
          <w:rFonts w:ascii="Times New Roman" w:hAnsi="Times New Roman" w:cs="Times New Roman"/>
          <w:sz w:val="21"/>
          <w:szCs w:val="21"/>
        </w:rPr>
        <w:instrText xml:space="preserve">talytic system. The photocatalytic efficiency can be improved by 26% just by placing a permanent magnet beneath the normal photocatalytic system without any additional power supply. The mechanism by which the Lorentz force acts oppositely on the photogener</w:instrText>
      </w:r>
      <w:r>
        <w:rPr>
          <w:rFonts w:ascii="Times New Roman" w:hAnsi="Times New Roman" w:cs="Times New Roman"/>
          <w:sz w:val="21"/>
          <w:szCs w:val="21"/>
        </w:rPr>
        <w:instrText xml:space="preserve">ated electrons and holes is introduced, resulting in the suppression of the photoinduced charge recombination. This work provides insights into the specific role of the Lorentz force in suppressing the recombination of electron–hole pairs in their initial </w:instrText>
      </w:r>
      <w:r>
        <w:rPr>
          <w:rFonts w:ascii="Times New Roman" w:hAnsi="Times New Roman" w:cs="Times New Roman"/>
          <w:sz w:val="21"/>
          <w:szCs w:val="21"/>
        </w:rPr>
        <w:instrText xml:space="preserve">photogenerated states. This suppression would increase the population of charge carriers that would subsequently be transported in the semiconductor. It is believed that this strategy based on magnetic effects will initiate a new way of thinking about phot</w:instrText>
      </w:r>
      <w:r>
        <w:rPr>
          <w:rFonts w:ascii="Times New Roman" w:hAnsi="Times New Roman" w:cs="Times New Roman"/>
          <w:sz w:val="21"/>
          <w:szCs w:val="21"/>
        </w:rPr>
        <w:instrText xml:space="preserve">oinduced charge separation.","author":[{"dropping-particle":"","family":"Gao","given":"Wenqiang","non-dropping-particle":"","parse-names":false,"suffix":""},{"dropping-particle":"","family":"Lu","given":"Jibao","non-dropping-particle":"","parse-names":fals</w:instrText>
      </w:r>
      <w:r>
        <w:rPr>
          <w:rFonts w:ascii="Times New Roman" w:hAnsi="Times New Roman" w:cs="Times New Roman"/>
          <w:sz w:val="21"/>
          <w:szCs w:val="21"/>
        </w:rPr>
        <w:instrText xml:space="preserve">e,"suffix":""},{"dropping-particle":"","family":"Zhang","given":"Shan","non-dropping-particle":"","parse-names":false,"suffix":""},{"dropping-particle":"","family":"Zhang","given":"Xiaofei","non-dropping-particle":"","parse-names":false,"suffix":""},{"drop</w:instrText>
      </w:r>
      <w:r>
        <w:rPr>
          <w:rFonts w:ascii="Times New Roman" w:hAnsi="Times New Roman" w:cs="Times New Roman"/>
          <w:sz w:val="21"/>
          <w:szCs w:val="21"/>
        </w:rPr>
        <w:instrText xml:space="preserve">ping-particle":"","family":"Wang","given":"Zhongxuan","non-dropping-particle":"","parse-names":false,"suffix":""},{"dropping-particle":"","family":"Qin","given":"Wei","non-dropping-particle":"","parse-names":false,"suffix":""},{"dropping-particle":"","fami</w:instrText>
      </w:r>
      <w:r>
        <w:rPr>
          <w:rFonts w:ascii="Times New Roman" w:hAnsi="Times New Roman" w:cs="Times New Roman"/>
          <w:sz w:val="21"/>
          <w:szCs w:val="21"/>
        </w:rPr>
        <w:instrText xml:space="preserve">ly":"Wang","given":"Jianjun","non-dropping-particle":"","parse-names":false,"suffix":""},{"dropping-particle":"","family":"Zhou","given":"Weijia","non-dropping-particle":"","parse-names":false,"suffix":""},{"dropping-particle":"","family":"Liu","given":"Ho</w:instrText>
      </w:r>
      <w:r>
        <w:rPr>
          <w:rFonts w:ascii="Times New Roman" w:hAnsi="Times New Roman" w:cs="Times New Roman"/>
          <w:sz w:val="21"/>
          <w:szCs w:val="21"/>
        </w:rPr>
        <w:instrText xml:space="preserve">ng","non-dropping-particle":"","parse-names":false,"suffix":""},{"dropping-particle":"","family":"Sang","given":"Yuanhua","non-dropping-particle":"","parse-names":false,"suffix":""}],"container-title":"Advanced Science","id":"ITEM-1","issued":{"date-parts"</w:instrText>
      </w:r>
      <w:r>
        <w:rPr>
          <w:rFonts w:ascii="Times New Roman" w:hAnsi="Times New Roman" w:cs="Times New Roman"/>
          <w:sz w:val="21"/>
          <w:szCs w:val="21"/>
        </w:rPr>
        <w:instrText xml:space="preserve">:[["2019"]]},"page":"1901244","title":"Suppressing Photoinduced Charge Recombination via the Lorentz Force in a Photocatalytic System","type":"article-journal","volume":"6"},"uris":["http://www.mendeley.com/documents/?uuid=8f55ccb4-87b1-4f2c-9429-84f0f9b7e</w:instrText>
      </w:r>
      <w:r>
        <w:rPr>
          <w:rFonts w:ascii="Times New Roman" w:hAnsi="Times New Roman" w:cs="Times New Roman"/>
          <w:sz w:val="21"/>
          <w:szCs w:val="21"/>
        </w:rPr>
        <w:instrText xml:space="preserve">06f"]}],"mendeley":{"formattedCitation":"&lt;sup&gt;24&lt;/sup&gt;","plainTextFormattedCitation":"24","previouslyFormattedCitation":"&lt;sup&gt;24&lt;/sup&gt;"},"properties":{"noteIndex":0},"schema":"https://github.com/citation-style-language/schema/raw/master/csl-citation.json"}</w:instrText>
      </w:r>
      <w:r>
        <w:rPr>
          <w:rFonts w:ascii="Times New Roman" w:hAnsi="Times New Roman" w:cs="Times New Roman"/>
          <w:sz w:val="21"/>
          <w:szCs w:val="21"/>
        </w:rPr>
        <w:fldChar w:fldCharType="separate"/>
      </w:r>
      <w:r>
        <w:rPr>
          <w:rFonts w:ascii="Times New Roman" w:hAnsi="Times New Roman" w:cs="Times New Roman"/>
          <w:sz w:val="21"/>
          <w:szCs w:val="21"/>
          <w:vertAlign w:val="superscript"/>
        </w:rPr>
        <w:t xml:space="preserve">24</w:t>
      </w:r>
      <w:r>
        <w:rPr>
          <w:rFonts w:ascii="Times New Roman" w:hAnsi="Times New Roman" w:cs="Times New Roman"/>
          <w:sz w:val="21"/>
          <w:szCs w:val="21"/>
        </w:rPr>
        <w:fldChar w:fldCharType="end"/>
      </w:r>
      <w:r>
        <w:rPr>
          <w:rFonts w:ascii="Times New Roman" w:hAnsi="Times New Roman" w:cs="Times New Roman"/>
          <w:sz w:val="21"/>
          <w:szCs w:val="21"/>
        </w:rPr>
        <w:t xml:space="preserve">.</w:t>
      </w:r>
      <w:r/>
    </w:p>
    <w:p>
      <w:pPr>
        <w:jc w:val="both"/>
        <w:spacing w:lineRule="exact" w:line="400" w:after="156"/>
        <w:rPr>
          <w:rFonts w:ascii="Times New Roman" w:hAnsi="Times New Roman" w:cs="Times New Roman"/>
          <w:bCs/>
          <w:sz w:val="21"/>
          <w:szCs w:val="21"/>
        </w:rPr>
      </w:pPr>
      <w:r>
        <w:rPr>
          <w:rFonts w:ascii="Times New Roman" w:hAnsi="Times New Roman" w:cs="Times New Roman"/>
          <w:sz w:val="21"/>
          <w:szCs w:val="21"/>
        </w:rPr>
        <w:t xml:space="preserve">Here, we report a strong induced local magnetic-field-promoted POWS system, in which hydrogen and oxygen evolution activities are efficiently generated in a stoichiometric 2:1 ratio from pure water under visible light irradiation at 270 </w:t>
      </w:r>
      <w:r>
        <w:rPr>
          <w:rFonts w:ascii="Times New Roman" w:hAnsi="Times New Roman" w:cs="Times New Roman"/>
          <w:sz w:val="21"/>
          <w:szCs w:val="21"/>
          <w:vertAlign w:val="superscript"/>
        </w:rPr>
        <w:t xml:space="preserve">o</w:t>
      </w:r>
      <w:r>
        <w:rPr>
          <w:rFonts w:ascii="Times New Roman" w:hAnsi="Times New Roman" w:cs="Times New Roman"/>
          <w:sz w:val="21"/>
          <w:szCs w:val="21"/>
        </w:rPr>
        <w:t xml:space="preserve">C.</w:t>
      </w:r>
      <w:r>
        <w:rPr>
          <w:rFonts w:ascii="Times New Roman" w:hAnsi="Times New Roman" w:cs="Times New Roman"/>
          <w:sz w:val="21"/>
          <w:szCs w:val="21"/>
        </w:rPr>
        <w:t xml:space="preserve"> By placing nitrogen-doped TiO</w:t>
      </w:r>
      <w:r>
        <w:rPr>
          <w:rFonts w:ascii="Times New Roman" w:hAnsi="Times New Roman" w:cs="Times New Roman"/>
          <w:sz w:val="21"/>
          <w:szCs w:val="21"/>
          <w:vertAlign w:val="subscript"/>
        </w:rPr>
        <w:t xml:space="preserve">2</w:t>
      </w:r>
      <w:r>
        <w:rPr>
          <w:rFonts w:ascii="Times New Roman" w:hAnsi="Times New Roman" w:cs="Times New Roman"/>
          <w:sz w:val="21"/>
          <w:szCs w:val="21"/>
        </w:rPr>
        <w:t xml:space="preserve"> photocatalyst in proximity to superparamagnetic Fe</w:t>
      </w:r>
      <w:r>
        <w:rPr>
          <w:rFonts w:ascii="Times New Roman" w:hAnsi="Times New Roman" w:cs="Times New Roman"/>
          <w:sz w:val="21"/>
          <w:szCs w:val="21"/>
          <w:vertAlign w:val="subscript"/>
        </w:rPr>
        <w:t xml:space="preserve">3</w:t>
      </w:r>
      <w:r>
        <w:rPr>
          <w:rFonts w:ascii="Times New Roman" w:hAnsi="Times New Roman" w:cs="Times New Roman"/>
          <w:sz w:val="21"/>
          <w:szCs w:val="21"/>
        </w:rPr>
        <w:t xml:space="preserve">O</w:t>
      </w:r>
      <w:r>
        <w:rPr>
          <w:rFonts w:ascii="Times New Roman" w:hAnsi="Times New Roman" w:cs="Times New Roman"/>
          <w:sz w:val="21"/>
          <w:szCs w:val="21"/>
          <w:vertAlign w:val="subscript"/>
        </w:rPr>
        <w:t xml:space="preserve">4</w:t>
      </w:r>
      <w:r>
        <w:rPr>
          <w:rFonts w:ascii="Times New Roman" w:hAnsi="Times New Roman" w:cs="Times New Roman"/>
          <w:sz w:val="21"/>
          <w:szCs w:val="21"/>
        </w:rPr>
        <w:t xml:space="preserve"> nanoparticles under external magnetic field. It is shown that the strong local magnetic field can lead to </w:t>
      </w:r>
      <w:r>
        <w:rPr>
          <w:rFonts w:ascii="Times New Roman" w:hAnsi="Times New Roman" w:cs="Times New Roman"/>
          <w:sz w:val="21"/>
          <w:szCs w:val="21"/>
        </w:rPr>
        <w:t xml:space="preserve">an </w:t>
      </w:r>
      <w:r>
        <w:rPr>
          <w:rFonts w:ascii="Times New Roman" w:hAnsi="Times New Roman" w:cs="Times New Roman"/>
          <w:sz w:val="21"/>
          <w:szCs w:val="21"/>
        </w:rPr>
        <w:t xml:space="preserve">extraordinary </w:t>
      </w:r>
      <w:r>
        <w:rPr>
          <w:rFonts w:ascii="Times New Roman" w:hAnsi="Times New Roman" w:cs="Times New Roman"/>
          <w:sz w:val="21"/>
          <w:szCs w:val="21"/>
        </w:rPr>
        <w:t xml:space="preserve">hydrogen evolution rate of 20.5</w:t>
      </w:r>
      <w:r>
        <w:rPr>
          <w:rFonts w:ascii="Times New Roman" w:hAnsi="Times New Roman" w:cs="Times New Roman"/>
          <w:sz w:val="21"/>
          <w:szCs w:val="21"/>
        </w:rPr>
        <w:t xml:space="preserve"> </w:t>
      </w:r>
      <w:r>
        <w:rPr>
          <w:rFonts w:ascii="Times New Roman" w:hAnsi="Times New Roman" w:cs="Times New Roman"/>
          <w:bCs/>
          <w:sz w:val="21"/>
          <w:szCs w:val="21"/>
        </w:rPr>
        <w:t xml:space="preserve">m</w:t>
      </w:r>
      <w:r>
        <w:rPr>
          <w:rFonts w:ascii="Times New Roman" w:hAnsi="Times New Roman" w:cs="Times New Roman"/>
          <w:bCs/>
          <w:sz w:val="21"/>
          <w:szCs w:val="21"/>
        </w:rPr>
        <w:t xml:space="preserve">mol g</w:t>
      </w:r>
      <w:r>
        <w:rPr>
          <w:rFonts w:ascii="Times New Roman" w:hAnsi="Times New Roman" w:cs="Times New Roman"/>
          <w:bCs/>
          <w:sz w:val="21"/>
          <w:szCs w:val="21"/>
          <w:vertAlign w:val="superscript"/>
        </w:rPr>
        <w:t xml:space="preserve">-1</w:t>
      </w:r>
      <w:r>
        <w:rPr>
          <w:rFonts w:ascii="Times New Roman" w:hAnsi="Times New Roman" w:cs="Times New Roman"/>
          <w:bCs/>
          <w:sz w:val="21"/>
          <w:szCs w:val="21"/>
        </w:rPr>
        <w:t xml:space="preserve"> h</w:t>
      </w:r>
      <w:r>
        <w:rPr>
          <w:rFonts w:ascii="Times New Roman" w:hAnsi="Times New Roman" w:cs="Times New Roman"/>
          <w:bCs/>
          <w:sz w:val="21"/>
          <w:szCs w:val="21"/>
          <w:vertAlign w:val="superscript"/>
        </w:rPr>
        <w:t xml:space="preserve">-1</w:t>
      </w:r>
      <w:r>
        <w:rPr>
          <w:rFonts w:ascii="Times New Roman" w:hAnsi="Times New Roman" w:cs="Times New Roman"/>
          <w:bCs/>
          <w:sz w:val="21"/>
          <w:szCs w:val="21"/>
        </w:rPr>
        <w:t xml:space="preserve"> and QE of 90.3% at 437 nm. The photocatalytic performance was also evaluated with simulated solar light irradiation (AM 1.5G), which gives an unprecedented STH efficiency of 12.2%, exceeding the practical application target of 10%</w:t>
      </w:r>
      <w:r>
        <w:rPr>
          <w:rFonts w:ascii="Times New Roman" w:hAnsi="Times New Roman" w:cs="Times New Roman"/>
          <w:bCs/>
          <w:sz w:val="21"/>
          <w:szCs w:val="21"/>
        </w:rPr>
        <w:t xml:space="preserve"> imposed by the DOE</w:t>
      </w:r>
      <w:r>
        <w:rPr>
          <w:rFonts w:ascii="Times New Roman" w:hAnsi="Times New Roman" w:cs="Times New Roman"/>
          <w:bCs/>
          <w:sz w:val="21"/>
          <w:szCs w:val="21"/>
          <w:vertAlign w:val="superscript"/>
        </w:rPr>
        <w:t xml:space="preserve">10</w:t>
      </w:r>
      <w:r>
        <w:rPr>
          <w:rFonts w:ascii="Times New Roman" w:hAnsi="Times New Roman" w:cs="Times New Roman"/>
          <w:bCs/>
          <w:sz w:val="21"/>
          <w:szCs w:val="21"/>
        </w:rPr>
        <w:t xml:space="preserve">. We attribute this </w:t>
      </w:r>
      <w:r>
        <w:rPr>
          <w:rFonts w:ascii="Times New Roman" w:hAnsi="Times New Roman" w:cs="Times New Roman"/>
          <w:bCs/>
          <w:sz w:val="21"/>
          <w:szCs w:val="21"/>
        </w:rPr>
        <w:t xml:space="preserve">result </w:t>
      </w:r>
      <w:r>
        <w:rPr>
          <w:rFonts w:ascii="Times New Roman" w:hAnsi="Times New Roman" w:cs="Times New Roman"/>
          <w:bCs/>
          <w:sz w:val="21"/>
          <w:szCs w:val="21"/>
        </w:rPr>
        <w:t xml:space="preserve">to the dramatic </w:t>
      </w:r>
      <w:r>
        <w:rPr>
          <w:rFonts w:ascii="Times New Roman" w:hAnsi="Times New Roman" w:cs="Times New Roman"/>
          <w:sz w:val="21"/>
          <w:szCs w:val="21"/>
        </w:rPr>
        <w:t xml:space="preserve">prolonged </w:t>
      </w:r>
      <w:r>
        <w:rPr>
          <w:rFonts w:ascii="Times New Roman" w:hAnsi="Times New Roman" w:cs="Times New Roman"/>
          <w:sz w:val="21"/>
          <w:szCs w:val="21"/>
        </w:rPr>
        <w:t xml:space="preserve">time for charge </w:t>
      </w:r>
      <w:r>
        <w:rPr>
          <w:rFonts w:ascii="Times New Roman" w:hAnsi="Times New Roman" w:cs="Times New Roman"/>
          <w:sz w:val="21"/>
          <w:szCs w:val="21"/>
        </w:rPr>
        <w:t xml:space="preserve">carriers</w:t>
      </w:r>
      <w:r>
        <w:rPr>
          <w:rFonts w:ascii="Times New Roman" w:hAnsi="Times New Roman" w:cs="Times New Roman"/>
          <w:sz w:val="21"/>
          <w:szCs w:val="21"/>
        </w:rPr>
        <w:t xml:space="preserve"> </w:t>
      </w:r>
      <w:r>
        <w:rPr>
          <w:rFonts w:ascii="Times New Roman" w:hAnsi="Times New Roman" w:cs="Times New Roman"/>
          <w:sz w:val="21"/>
          <w:szCs w:val="21"/>
        </w:rPr>
        <w:t xml:space="preserve">recombination </w:t>
      </w:r>
      <w:r>
        <w:rPr>
          <w:rFonts w:ascii="Times New Roman" w:hAnsi="Times New Roman" w:cs="Times New Roman"/>
          <w:sz w:val="21"/>
          <w:szCs w:val="21"/>
        </w:rPr>
        <w:t xml:space="preserve">of </w:t>
      </w:r>
      <w:r>
        <w:rPr>
          <w:rFonts w:ascii="Times New Roman" w:hAnsi="Times New Roman" w:cs="Times New Roman"/>
          <w:sz w:val="21"/>
          <w:szCs w:val="21"/>
        </w:rPr>
        <w:t xml:space="preserve">this N-doped photocatalyst of strong </w:t>
      </w:r>
      <w:r>
        <w:rPr>
          <w:rFonts w:ascii="Times New Roman" w:hAnsi="Times New Roman" w:cs="Times New Roman"/>
          <w:sz w:val="21"/>
          <w:szCs w:val="21"/>
        </w:rPr>
        <w:t xml:space="preserve">spin-polarized band for spin flipping as well as magnetic induced Lorentz force for </w:t>
      </w:r>
      <w:r>
        <w:rPr>
          <w:rFonts w:ascii="Times New Roman" w:hAnsi="Times New Roman" w:cs="Times New Roman"/>
          <w:sz w:val="21"/>
          <w:szCs w:val="21"/>
        </w:rPr>
        <w:t xml:space="preserve">the </w:t>
      </w:r>
      <w:r>
        <w:rPr>
          <w:rFonts w:ascii="Times New Roman" w:hAnsi="Times New Roman" w:cs="Times New Roman"/>
          <w:sz w:val="21"/>
          <w:szCs w:val="21"/>
        </w:rPr>
        <w:t xml:space="preserve">charges separation during</w:t>
      </w:r>
      <w:r>
        <w:rPr>
          <w:rFonts w:ascii="Times New Roman" w:hAnsi="Times New Roman" w:cs="Times New Roman"/>
          <w:sz w:val="21"/>
          <w:szCs w:val="21"/>
        </w:rPr>
        <w:t xml:space="preserve"> illumination, which facilitate</w:t>
      </w:r>
      <w:r>
        <w:rPr>
          <w:rFonts w:ascii="Times New Roman" w:hAnsi="Times New Roman" w:cs="Times New Roman"/>
          <w:sz w:val="21"/>
          <w:szCs w:val="21"/>
        </w:rPr>
        <w:t xml:space="preserve"> </w:t>
      </w:r>
      <w:r>
        <w:rPr>
          <w:rFonts w:ascii="Times New Roman" w:hAnsi="Times New Roman" w:cs="Times New Roman"/>
          <w:sz w:val="21"/>
          <w:szCs w:val="21"/>
        </w:rPr>
        <w:t xml:space="preserve">the alternative elementary reaction routes for water splitting in </w:t>
      </w:r>
      <w:r>
        <w:rPr>
          <w:rFonts w:ascii="Times New Roman" w:hAnsi="Times New Roman" w:cs="Times New Roman"/>
          <w:sz w:val="21"/>
          <w:szCs w:val="21"/>
        </w:rPr>
        <w:t xml:space="preserve">high rate </w:t>
      </w:r>
      <w:r>
        <w:rPr>
          <w:rFonts w:ascii="Times New Roman" w:hAnsi="Times New Roman" w:cs="Times New Roman"/>
          <w:sz w:val="21"/>
          <w:szCs w:val="21"/>
        </w:rPr>
        <w:t xml:space="preserve">to charge relaxation </w:t>
      </w:r>
      <w:r>
        <w:rPr>
          <w:rFonts w:ascii="Times New Roman" w:hAnsi="Times New Roman" w:cs="Times New Roman"/>
          <w:sz w:val="21"/>
          <w:szCs w:val="21"/>
        </w:rPr>
        <w:t xml:space="preserve">at elevated temperature.</w:t>
      </w:r>
      <w:r/>
    </w:p>
    <w:p>
      <w:pPr>
        <w:jc w:val="both"/>
        <w:spacing w:lineRule="exact" w:line="400" w:after="156"/>
        <w:rPr>
          <w:rFonts w:ascii="Times New Roman" w:hAnsi="Times New Roman" w:cs="Times New Roman"/>
          <w:bCs/>
          <w:sz w:val="21"/>
          <w:szCs w:val="21"/>
        </w:rPr>
      </w:pPr>
      <w:r>
        <w:rPr>
          <w:rFonts w:ascii="Times New Roman" w:hAnsi="Times New Roman" w:cs="Times New Roman"/>
          <w:bCs/>
          <w:sz w:val="21"/>
          <w:szCs w:val="21"/>
        </w:rPr>
      </w:r>
      <w:r/>
    </w:p>
    <w:p>
      <w:pPr>
        <w:pStyle w:val="646"/>
        <w:numPr>
          <w:ilvl w:val="0"/>
          <w:numId w:val="1"/>
        </w:numPr>
        <w:ind w:left="0"/>
        <w:jc w:val="both"/>
        <w:spacing w:lineRule="exact" w:line="400" w:after="156"/>
        <w:rPr>
          <w:rFonts w:ascii="Times New Roman" w:hAnsi="Times New Roman" w:cs="Times New Roman"/>
          <w:b/>
          <w:bCs/>
        </w:rPr>
      </w:pPr>
      <w:r>
        <w:rPr>
          <w:rFonts w:ascii="Times New Roman" w:hAnsi="Times New Roman" w:cs="Times New Roman" w:hint="eastAsia"/>
          <w:b/>
          <w:bCs/>
        </w:rPr>
        <w:t xml:space="preserve">R</w:t>
      </w:r>
      <w:r>
        <w:rPr>
          <w:rFonts w:ascii="Times New Roman" w:hAnsi="Times New Roman" w:cs="Times New Roman"/>
          <w:b/>
          <w:bCs/>
        </w:rPr>
        <w:t xml:space="preserve">esults and Discussion</w:t>
      </w:r>
      <w:r/>
    </w:p>
    <w:p>
      <w:pPr>
        <w:jc w:val="both"/>
        <w:spacing w:lineRule="exact" w:line="400" w:after="156"/>
        <w:rPr>
          <w:rFonts w:ascii="Times New Roman" w:hAnsi="Times New Roman" w:cs="Times New Roman"/>
          <w:bCs/>
          <w:sz w:val="21"/>
          <w:szCs w:val="21"/>
        </w:rPr>
      </w:pPr>
      <w:r>
        <w:rPr>
          <w:rFonts w:ascii="Times New Roman" w:hAnsi="Times New Roman" w:cs="Times New Roman"/>
          <w:sz w:val="21"/>
          <w:szCs w:val="21"/>
        </w:rPr>
        <w:t xml:space="preserve">To enhance the local magnetic flux applied to a metal oxide based photocatalyst under external magnetic </w:t>
      </w:r>
      <w:r>
        <w:rPr>
          <w:rFonts w:ascii="Times New Roman" w:hAnsi="Times New Roman" w:cs="Times New Roman"/>
          <w:sz w:val="21"/>
          <w:szCs w:val="21"/>
        </w:rPr>
        <w:t xml:space="preserve">field,</w:t>
      </w:r>
      <w:r>
        <w:rPr>
          <w:rFonts w:ascii="Times New Roman" w:hAnsi="Times New Roman" w:cs="Times New Roman"/>
          <w:sz w:val="21"/>
          <w:szCs w:val="21"/>
        </w:rPr>
        <w:t xml:space="preserve"> magnetic</w:t>
      </w:r>
      <w:r>
        <w:rPr>
          <w:rFonts w:ascii="Times New Roman" w:hAnsi="Times New Roman" w:cs="Times New Roman"/>
          <w:sz w:val="21"/>
          <w:szCs w:val="21"/>
        </w:rPr>
        <w:t xml:space="preserve"> </w:t>
      </w:r>
      <w:r>
        <w:rPr>
          <w:rFonts w:ascii="Times New Roman" w:hAnsi="Times New Roman" w:cs="Times New Roman" w:hint="eastAsia"/>
          <w:sz w:val="21"/>
          <w:szCs w:val="21"/>
        </w:rPr>
        <w:t xml:space="preserve">F</w:t>
      </w:r>
      <w:r>
        <w:rPr>
          <w:rFonts w:ascii="Times New Roman" w:hAnsi="Times New Roman" w:cs="Times New Roman"/>
          <w:sz w:val="21"/>
          <w:szCs w:val="21"/>
        </w:rPr>
        <w:t xml:space="preserve">e</w:t>
      </w:r>
      <w:r>
        <w:rPr>
          <w:rFonts w:ascii="Times New Roman" w:hAnsi="Times New Roman" w:cs="Times New Roman"/>
          <w:sz w:val="21"/>
          <w:szCs w:val="21"/>
          <w:vertAlign w:val="subscript"/>
        </w:rPr>
        <w:t xml:space="preserve">3</w:t>
      </w:r>
      <w:r>
        <w:rPr>
          <w:rFonts w:ascii="Times New Roman" w:hAnsi="Times New Roman" w:cs="Times New Roman"/>
          <w:sz w:val="21"/>
          <w:szCs w:val="21"/>
        </w:rPr>
        <w:t xml:space="preserve">O</w:t>
      </w:r>
      <w:r>
        <w:rPr>
          <w:rFonts w:ascii="Times New Roman" w:hAnsi="Times New Roman" w:cs="Times New Roman"/>
          <w:sz w:val="21"/>
          <w:szCs w:val="21"/>
          <w:vertAlign w:val="subscript"/>
        </w:rPr>
        <w:t xml:space="preserve">4</w:t>
      </w:r>
      <w:r>
        <w:rPr>
          <w:rFonts w:ascii="Times New Roman" w:hAnsi="Times New Roman" w:cs="Times New Roman"/>
          <w:sz w:val="21"/>
          <w:szCs w:val="21"/>
        </w:rPr>
        <w:t xml:space="preserve"> NPs </w:t>
      </w:r>
      <w:r>
        <w:rPr>
          <w:rFonts w:ascii="Times New Roman" w:hAnsi="Times New Roman" w:cs="Times New Roman"/>
          <w:sz w:val="21"/>
          <w:szCs w:val="21"/>
        </w:rPr>
        <w:t xml:space="preserve">encapsulated in </w:t>
      </w:r>
      <w:r>
        <w:rPr>
          <w:rFonts w:ascii="Times New Roman" w:hAnsi="Times New Roman" w:cs="Times New Roman"/>
          <w:sz w:val="21"/>
          <w:szCs w:val="21"/>
        </w:rPr>
        <w:t xml:space="preserve">silica</w:t>
      </w:r>
      <w:r>
        <w:rPr>
          <w:rFonts w:ascii="Times New Roman" w:hAnsi="Times New Roman" w:cs="Times New Roman"/>
          <w:sz w:val="21"/>
          <w:szCs w:val="21"/>
        </w:rPr>
        <w:t xml:space="preserve"> were</w:t>
      </w:r>
      <w:r>
        <w:rPr>
          <w:rFonts w:ascii="Times New Roman" w:hAnsi="Times New Roman" w:cs="Times New Roman" w:hint="eastAsia"/>
          <w:sz w:val="21"/>
          <w:szCs w:val="21"/>
        </w:rPr>
        <w:t xml:space="preserve"> </w:t>
      </w:r>
      <w:r>
        <w:rPr>
          <w:rFonts w:ascii="Times New Roman" w:hAnsi="Times New Roman" w:cs="Times New Roman"/>
          <w:sz w:val="21"/>
          <w:szCs w:val="21"/>
        </w:rPr>
        <w:t xml:space="preserve">initially </w:t>
      </w:r>
      <w:r>
        <w:rPr>
          <w:rFonts w:ascii="Times New Roman" w:hAnsi="Times New Roman" w:cs="Times New Roman"/>
          <w:sz w:val="21"/>
          <w:szCs w:val="21"/>
        </w:rPr>
        <w:t xml:space="preserve">synthesise</w:t>
      </w:r>
      <w:r>
        <w:rPr>
          <w:rFonts w:ascii="Times New Roman" w:hAnsi="Times New Roman" w:cs="Times New Roman"/>
          <w:sz w:val="21"/>
          <w:szCs w:val="21"/>
        </w:rPr>
        <w:t xml:space="preserve">d using the method adopted from our previous study</w:t>
      </w:r>
      <w:r>
        <w:rPr>
          <w:rFonts w:ascii="Times New Roman" w:hAnsi="Times New Roman" w:cs="Times New Roman"/>
          <w:sz w:val="21"/>
          <w:szCs w:val="21"/>
        </w:rPr>
        <w:fldChar w:fldCharType="begin"/>
      </w:r>
      <w:r>
        <w:rPr>
          <w:rFonts w:ascii="Times New Roman" w:hAnsi="Times New Roman" w:cs="Times New Roman"/>
          <w:sz w:val="21"/>
          <w:szCs w:val="21"/>
        </w:rPr>
        <w:instrText xml:space="preserve">ADDIN CSL_CITATION {"citationItems":[{"id":"ITEM-1","itemData":{"DOI":"10.1021/acs.chemmater.7b00884","ISSN"</w:instrText>
      </w:r>
      <w:r>
        <w:rPr>
          <w:rFonts w:ascii="Times New Roman" w:hAnsi="Times New Roman" w:cs="Times New Roman"/>
          <w:sz w:val="21"/>
          <w:szCs w:val="21"/>
        </w:rPr>
        <w:instrText xml:space="preserve">:"15205002","abstract":"Despite a variety of T1-T2 dual-modal contrast agents (DMCAs) reported for magnetic resonance imaging (MRI), no tuning of local induced magnetic field strength of an DMCA, which is important to modulate the overall T1 and T2 respons</w:instrText>
      </w:r>
      <w:r>
        <w:rPr>
          <w:rFonts w:ascii="Times New Roman" w:hAnsi="Times New Roman" w:cs="Times New Roman"/>
          <w:sz w:val="21"/>
          <w:szCs w:val="21"/>
        </w:rPr>
        <w:instrText xml:space="preserve">es for imaging delicate cells, tissues, and organs, is yet available. Here, we show that a spatial arrangement of T1 and T2 components within a \"nano zone\" in a single core-shell nanoparticle carrier (i.e., DMCA with core Fe3O4 and MnO clusters in a sili</w:instrText>
      </w:r>
      <w:r>
        <w:rPr>
          <w:rFonts w:ascii="Times New Roman" w:hAnsi="Times New Roman" w:cs="Times New Roman"/>
          <w:sz w:val="21"/>
          <w:szCs w:val="21"/>
        </w:rPr>
        <w:instrText xml:space="preserve">ca shell) to produce the necessary fine-tuning effect. It is demonstrated that this particle after the anti-CD133 antibody immobilization allows both T1 and T2 imaging at higher resolution for living ependynmal brain cells of rodents with no local damage u</w:instrText>
      </w:r>
      <w:r>
        <w:rPr>
          <w:rFonts w:ascii="Times New Roman" w:hAnsi="Times New Roman" w:cs="Times New Roman"/>
          <w:sz w:val="21"/>
          <w:szCs w:val="21"/>
        </w:rPr>
        <w:instrText xml:space="preserve">nder a strong MRI magnetic field. This study opens a route to rational engineering of DMCAs for accurate magnetic manipulations in a safe manner.","author":[{"dropping-particle":"","family":"Peng","given":"Yung Kang","non-dropping-particle":"","parse-names</w:instrText>
      </w:r>
      <w:r>
        <w:rPr>
          <w:rFonts w:ascii="Times New Roman" w:hAnsi="Times New Roman" w:cs="Times New Roman"/>
          <w:sz w:val="21"/>
          <w:szCs w:val="21"/>
        </w:rPr>
        <w:instrText xml:space="preserve">":false,"suffix":""},{"dropping-particle":"","family":"Lui","given":"Cathy N.P.","non-dropping-particle":"","parse-names":false,"suffix":""},{"dropping-particle":"","family":"Chen","given":"Yu Wei","non-dropping-particle":"","parse-names":false,"suffix":""</w:instrText>
      </w:r>
      <w:r>
        <w:rPr>
          <w:rFonts w:ascii="Times New Roman" w:hAnsi="Times New Roman" w:cs="Times New Roman"/>
          <w:sz w:val="21"/>
          <w:szCs w:val="21"/>
        </w:rPr>
        <w:instrText xml:space="preserve">},{"dropping-particle":"","family":"Chou","given":"Shang Wei","non-dropping-particle":"","parse-names":false,"suffix":""},{"dropping-particle":"","family":"Raine","given":"Elizabeth","non-dropping-particle":"","parse-names":false,"suffix":""},{"dropping-pa</w:instrText>
      </w:r>
      <w:r>
        <w:rPr>
          <w:rFonts w:ascii="Times New Roman" w:hAnsi="Times New Roman" w:cs="Times New Roman"/>
          <w:sz w:val="21"/>
          <w:szCs w:val="21"/>
        </w:rPr>
        <w:instrText xml:space="preserve">rticle":"","family":"Chou","given":"Pi Tai","non-dropping-particle":"","parse-names":false,"suffix":""},{"dropping-particle":"","family":"Yung","given":"Ken K.L.","non-dropping-particle":"","parse-names":false,"suffix":""},{"dropping-particle":"","family":</w:instrText>
      </w:r>
      <w:r>
        <w:rPr>
          <w:rFonts w:ascii="Times New Roman" w:hAnsi="Times New Roman" w:cs="Times New Roman"/>
          <w:sz w:val="21"/>
          <w:szCs w:val="21"/>
        </w:rPr>
        <w:instrText xml:space="preserve">"Tsang","given":"S. C.Edman","non-dropping-particle":"","parse-names":false,"suffix":""}],"container-title":"Chemistry of Materials","id":"ITEM-1","issue":"10","issued":{"date-parts":[["2017"]]},"page":"4411-4417","title":"Engineering of Single Magnetic Pa</w:instrText>
      </w:r>
      <w:r>
        <w:rPr>
          <w:rFonts w:ascii="Times New Roman" w:hAnsi="Times New Roman" w:cs="Times New Roman"/>
          <w:sz w:val="21"/>
          <w:szCs w:val="21"/>
        </w:rPr>
        <w:instrText xml:space="preserve">rticle Carrier for Living Brain Cell Imaging: A Tunable T1-/T2-/Dual-Modal Contrast Agent for Magnetic Resonance Imaging Application","type":"article-journal","volume":"29"},"uris":["http://www.mendeley.com/documents/?uuid=809f1393-b96f-46cf-aaaf-4869d1f74</w:instrText>
      </w:r>
      <w:r>
        <w:rPr>
          <w:rFonts w:ascii="Times New Roman" w:hAnsi="Times New Roman" w:cs="Times New Roman"/>
          <w:sz w:val="21"/>
          <w:szCs w:val="21"/>
        </w:rPr>
        <w:instrText xml:space="preserve">775"]}],"mendeley":{"formattedCitation":"&lt;sup&gt;25&lt;/sup&gt;","plainTextFormattedCitation":"25","previouslyFormattedCitation":"&lt;sup&gt;25&lt;/sup&gt;"},"properties":{"noteIndex":0},"schema":"https://github.com/citation-style-language/schema/raw/master/csl-citation.json"}</w:instrText>
      </w:r>
      <w:r>
        <w:rPr>
          <w:rFonts w:ascii="Times New Roman" w:hAnsi="Times New Roman" w:cs="Times New Roman"/>
          <w:sz w:val="21"/>
          <w:szCs w:val="21"/>
        </w:rPr>
        <w:fldChar w:fldCharType="separate"/>
      </w:r>
      <w:r>
        <w:rPr>
          <w:rFonts w:ascii="Times New Roman" w:hAnsi="Times New Roman" w:cs="Times New Roman"/>
          <w:sz w:val="21"/>
          <w:szCs w:val="21"/>
          <w:vertAlign w:val="superscript"/>
        </w:rPr>
        <w:t xml:space="preserve">25</w:t>
      </w:r>
      <w:r>
        <w:rPr>
          <w:rFonts w:ascii="Times New Roman" w:hAnsi="Times New Roman" w:cs="Times New Roman"/>
          <w:sz w:val="21"/>
          <w:szCs w:val="21"/>
        </w:rPr>
        <w:fldChar w:fldCharType="end"/>
      </w:r>
      <w:r>
        <w:rPr>
          <w:rFonts w:ascii="Times New Roman" w:hAnsi="Times New Roman" w:cs="Times New Roman" w:hint="eastAsia"/>
          <w:sz w:val="21"/>
          <w:szCs w:val="21"/>
        </w:rPr>
        <w:t xml:space="preserve"> as </w:t>
      </w:r>
      <w:r>
        <w:rPr>
          <w:rFonts w:ascii="Times New Roman" w:hAnsi="Times New Roman" w:cs="Times New Roman"/>
          <w:sz w:val="21"/>
          <w:szCs w:val="21"/>
        </w:rPr>
        <w:t xml:space="preserve">s</w:t>
      </w:r>
      <w:r>
        <w:rPr>
          <w:rFonts w:ascii="Times New Roman" w:hAnsi="Times New Roman" w:cs="Times New Roman"/>
          <w:sz w:val="21"/>
          <w:szCs w:val="21"/>
        </w:rPr>
        <w:t xml:space="preserve">hown in</w:t>
      </w:r>
      <w:r>
        <w:rPr>
          <w:rFonts w:ascii="Times New Roman" w:hAnsi="Times New Roman" w:cs="Times New Roman" w:hint="eastAsia"/>
          <w:sz w:val="21"/>
          <w:szCs w:val="21"/>
        </w:rPr>
        <w:t xml:space="preserve"> </w:t>
      </w:r>
      <w:r>
        <w:rPr>
          <w:rFonts w:ascii="Times New Roman" w:hAnsi="Times New Roman" w:cs="Times New Roman"/>
          <w:color w:val="FF0000"/>
          <w:sz w:val="21"/>
          <w:szCs w:val="21"/>
        </w:rPr>
        <w:t xml:space="preserve">F</w:t>
      </w:r>
      <w:r>
        <w:rPr>
          <w:rFonts w:ascii="Times New Roman" w:hAnsi="Times New Roman" w:cs="Times New Roman"/>
          <w:color w:val="FF0000"/>
          <w:sz w:val="21"/>
          <w:szCs w:val="21"/>
        </w:rPr>
        <w:t xml:space="preserve">ig. 1a</w:t>
      </w:r>
      <w:r>
        <w:rPr>
          <w:rFonts w:ascii="Times New Roman" w:hAnsi="Times New Roman" w:cs="Times New Roman"/>
          <w:sz w:val="21"/>
          <w:szCs w:val="21"/>
        </w:rPr>
        <w:t xml:space="preserve">. </w:t>
      </w:r>
      <w:r>
        <w:rPr>
          <w:rFonts w:ascii="Times New Roman" w:hAnsi="Times New Roman" w:cs="Times New Roman"/>
          <w:sz w:val="21"/>
          <w:szCs w:val="21"/>
        </w:rPr>
        <w:t xml:space="preserve">High-resolution </w:t>
      </w:r>
      <w:r>
        <w:rPr>
          <w:rFonts w:ascii="Times New Roman" w:hAnsi="Times New Roman" w:cs="Times New Roman"/>
          <w:sz w:val="21"/>
          <w:szCs w:val="21"/>
        </w:rPr>
        <w:t xml:space="preserve">t</w:t>
      </w:r>
      <w:r>
        <w:rPr>
          <w:rFonts w:ascii="Times New Roman" w:hAnsi="Times New Roman" w:cs="Times New Roman"/>
          <w:sz w:val="21"/>
          <w:szCs w:val="21"/>
        </w:rPr>
        <w:t xml:space="preserve">ransmission electron microscopy (HRTEM) image confirms the lattice spacing of 0.298 nm, which corresponds to the (220) plane of Fe</w:t>
      </w:r>
      <w:r>
        <w:rPr>
          <w:rFonts w:ascii="Times New Roman" w:hAnsi="Times New Roman" w:cs="Times New Roman"/>
          <w:sz w:val="21"/>
          <w:szCs w:val="21"/>
          <w:vertAlign w:val="subscript"/>
        </w:rPr>
        <w:t xml:space="preserve">3</w:t>
      </w:r>
      <w:r>
        <w:rPr>
          <w:rFonts w:ascii="Times New Roman" w:hAnsi="Times New Roman" w:cs="Times New Roman"/>
          <w:sz w:val="21"/>
          <w:szCs w:val="21"/>
        </w:rPr>
        <w:t xml:space="preserve">O</w:t>
      </w:r>
      <w:r>
        <w:rPr>
          <w:rFonts w:ascii="Times New Roman" w:hAnsi="Times New Roman" w:cs="Times New Roman"/>
          <w:sz w:val="21"/>
          <w:szCs w:val="21"/>
          <w:vertAlign w:val="subscript"/>
        </w:rPr>
        <w:t xml:space="preserve">4</w:t>
      </w:r>
      <w:r>
        <w:rPr>
          <w:rFonts w:ascii="Times New Roman" w:hAnsi="Times New Roman" w:cs="Times New Roman"/>
          <w:sz w:val="21"/>
          <w:szCs w:val="21"/>
        </w:rPr>
        <w:t xml:space="preserve"> structure (</w:t>
      </w:r>
      <w:r>
        <w:rPr>
          <w:rFonts w:ascii="Times New Roman" w:hAnsi="Times New Roman" w:cs="Times New Roman"/>
          <w:color w:val="FF0000"/>
          <w:sz w:val="21"/>
          <w:szCs w:val="21"/>
        </w:rPr>
        <w:t xml:space="preserve">Supplementary </w:t>
      </w:r>
      <w:r>
        <w:rPr>
          <w:rFonts w:ascii="Times New Roman" w:hAnsi="Times New Roman" w:cs="Times New Roman"/>
          <w:color w:val="FF0000"/>
          <w:sz w:val="21"/>
          <w:szCs w:val="21"/>
        </w:rPr>
        <w:t xml:space="preserve">Fig. 1</w:t>
      </w:r>
      <w:r>
        <w:rPr>
          <w:rFonts w:ascii="Times New Roman" w:hAnsi="Times New Roman" w:cs="Times New Roman"/>
          <w:color w:val="FF0000"/>
          <w:sz w:val="21"/>
          <w:szCs w:val="21"/>
        </w:rPr>
        <w:t xml:space="preserve">a</w:t>
      </w:r>
      <w:r>
        <w:rPr>
          <w:rFonts w:ascii="Times New Roman" w:hAnsi="Times New Roman" w:cs="Times New Roman"/>
          <w:sz w:val="21"/>
          <w:szCs w:val="21"/>
        </w:rPr>
        <w:t xml:space="preserve">).</w:t>
      </w:r>
      <w:r>
        <w:rPr>
          <w:rFonts w:ascii="Times New Roman" w:hAnsi="Times New Roman" w:cs="Times New Roman" w:hint="eastAsia"/>
          <w:sz w:val="21"/>
          <w:szCs w:val="21"/>
        </w:rPr>
        <w:t xml:space="preserve"> </w:t>
      </w:r>
      <w:r>
        <w:rPr>
          <w:rFonts w:ascii="Times New Roman" w:hAnsi="Times New Roman" w:cs="Times New Roman"/>
          <w:sz w:val="21"/>
          <w:szCs w:val="21"/>
        </w:rPr>
        <w:t xml:space="preserve">T</w:t>
      </w:r>
      <w:r>
        <w:rPr>
          <w:rFonts w:ascii="Times New Roman" w:hAnsi="Times New Roman" w:cs="Times New Roman"/>
          <w:sz w:val="21"/>
          <w:szCs w:val="21"/>
        </w:rPr>
        <w:t xml:space="preserve">EM</w:t>
      </w:r>
      <w:r>
        <w:rPr>
          <w:rFonts w:ascii="Times New Roman" w:hAnsi="Times New Roman" w:cs="Times New Roman" w:hint="eastAsia"/>
          <w:sz w:val="21"/>
          <w:szCs w:val="21"/>
        </w:rPr>
        <w:t xml:space="preserve"> </w:t>
      </w:r>
      <w:r>
        <w:rPr>
          <w:rFonts w:ascii="Times New Roman" w:hAnsi="Times New Roman" w:cs="Times New Roman"/>
          <w:sz w:val="21"/>
          <w:szCs w:val="21"/>
        </w:rPr>
        <w:t xml:space="preserve">c</w:t>
      </w:r>
      <w:r>
        <w:rPr>
          <w:rFonts w:ascii="Times New Roman" w:hAnsi="Times New Roman" w:cs="Times New Roman"/>
          <w:sz w:val="21"/>
          <w:szCs w:val="21"/>
        </w:rPr>
        <w:t xml:space="preserve">learly shows</w:t>
      </w:r>
      <w:r>
        <w:rPr>
          <w:rFonts w:ascii="Times New Roman" w:hAnsi="Times New Roman" w:cs="Times New Roman"/>
          <w:sz w:val="21"/>
          <w:szCs w:val="21"/>
        </w:rPr>
        <w:t xml:space="preserve"> the</w:t>
      </w:r>
      <w:r>
        <w:rPr>
          <w:rFonts w:ascii="Times New Roman" w:hAnsi="Times New Roman" w:cs="Times New Roman"/>
          <w:sz w:val="21"/>
          <w:szCs w:val="21"/>
        </w:rPr>
        <w:t xml:space="preserve"> well-dispersed </w:t>
      </w:r>
      <w:r>
        <w:rPr>
          <w:rFonts w:ascii="Times New Roman" w:hAnsi="Times New Roman" w:cs="Times New Roman" w:hint="eastAsia"/>
          <w:sz w:val="21"/>
          <w:szCs w:val="21"/>
        </w:rPr>
        <w:t xml:space="preserve">F</w:t>
      </w:r>
      <w:r>
        <w:rPr>
          <w:rFonts w:ascii="Times New Roman" w:hAnsi="Times New Roman" w:cs="Times New Roman"/>
          <w:sz w:val="21"/>
          <w:szCs w:val="21"/>
        </w:rPr>
        <w:t xml:space="preserve">e</w:t>
      </w:r>
      <w:r>
        <w:rPr>
          <w:rFonts w:ascii="Times New Roman" w:hAnsi="Times New Roman" w:cs="Times New Roman"/>
          <w:sz w:val="21"/>
          <w:szCs w:val="21"/>
          <w:vertAlign w:val="subscript"/>
        </w:rPr>
        <w:t xml:space="preserve">3</w:t>
      </w:r>
      <w:r>
        <w:rPr>
          <w:rFonts w:ascii="Times New Roman" w:hAnsi="Times New Roman" w:cs="Times New Roman"/>
          <w:sz w:val="21"/>
          <w:szCs w:val="21"/>
        </w:rPr>
        <w:t xml:space="preserve">O</w:t>
      </w:r>
      <w:r>
        <w:rPr>
          <w:rFonts w:ascii="Times New Roman" w:hAnsi="Times New Roman" w:cs="Times New Roman"/>
          <w:sz w:val="21"/>
          <w:szCs w:val="21"/>
          <w:vertAlign w:val="subscript"/>
        </w:rPr>
        <w:t xml:space="preserve">4</w:t>
      </w:r>
      <w:r>
        <w:rPr>
          <w:rFonts w:ascii="Times New Roman" w:hAnsi="Times New Roman" w:cs="Times New Roman"/>
          <w:sz w:val="21"/>
          <w:szCs w:val="21"/>
        </w:rPr>
        <w:t xml:space="preserve"> NPs</w:t>
      </w:r>
      <w:r>
        <w:rPr>
          <w:rFonts w:ascii="Times New Roman" w:hAnsi="Times New Roman" w:cs="Times New Roman"/>
          <w:sz w:val="21"/>
          <w:szCs w:val="21"/>
        </w:rPr>
        <w:t xml:space="preserve"> </w:t>
      </w:r>
      <w:r>
        <w:rPr>
          <w:rFonts w:ascii="Times New Roman" w:hAnsi="Times New Roman" w:cs="Times New Roman"/>
          <w:sz w:val="21"/>
          <w:szCs w:val="21"/>
        </w:rPr>
        <w:t xml:space="preserve">have</w:t>
      </w:r>
      <w:r>
        <w:rPr>
          <w:rFonts w:ascii="Times New Roman" w:hAnsi="Times New Roman" w:cs="Times New Roman"/>
          <w:sz w:val="21"/>
          <w:szCs w:val="21"/>
        </w:rPr>
        <w:t xml:space="preserve"> been </w:t>
      </w:r>
      <w:r>
        <w:rPr>
          <w:rFonts w:ascii="Times New Roman" w:hAnsi="Times New Roman" w:cs="Times New Roman"/>
          <w:sz w:val="21"/>
          <w:szCs w:val="21"/>
        </w:rPr>
        <w:t xml:space="preserve">synthesise</w:t>
      </w:r>
      <w:r>
        <w:rPr>
          <w:rFonts w:ascii="Times New Roman" w:hAnsi="Times New Roman" w:cs="Times New Roman"/>
          <w:sz w:val="21"/>
          <w:szCs w:val="21"/>
        </w:rPr>
        <w:t xml:space="preserve">d</w:t>
      </w:r>
      <w:r>
        <w:rPr>
          <w:rFonts w:ascii="Times New Roman" w:hAnsi="Times New Roman" w:cs="Times New Roman"/>
          <w:sz w:val="21"/>
          <w:szCs w:val="21"/>
        </w:rPr>
        <w:t xml:space="preserve"> with</w:t>
      </w:r>
      <w:r>
        <w:rPr>
          <w:rFonts w:ascii="Times New Roman" w:hAnsi="Times New Roman" w:cs="Times New Roman"/>
          <w:sz w:val="21"/>
          <w:szCs w:val="21"/>
        </w:rPr>
        <w:t xml:space="preserve"> a</w:t>
      </w:r>
      <w:r>
        <w:rPr>
          <w:rFonts w:ascii="Times New Roman" w:hAnsi="Times New Roman" w:cs="Times New Roman"/>
          <w:sz w:val="21"/>
          <w:szCs w:val="21"/>
        </w:rPr>
        <w:t xml:space="preserve"> high crystallinity (</w:t>
      </w:r>
      <w:r>
        <w:rPr>
          <w:rFonts w:ascii="Times New Roman" w:hAnsi="Times New Roman" w:cs="Times New Roman"/>
          <w:color w:val="FF0000"/>
          <w:sz w:val="21"/>
          <w:szCs w:val="21"/>
        </w:rPr>
        <w:t xml:space="preserve">Fig. 1b</w:t>
      </w:r>
      <w:r>
        <w:rPr>
          <w:rFonts w:ascii="Times New Roman" w:hAnsi="Times New Roman" w:cs="Times New Roman"/>
          <w:sz w:val="21"/>
          <w:szCs w:val="21"/>
        </w:rPr>
        <w:t xml:space="preserve">), which are successfully </w:t>
      </w:r>
      <w:r>
        <w:rPr>
          <w:rFonts w:ascii="Times New Roman" w:hAnsi="Times New Roman" w:cs="Times New Roman"/>
          <w:sz w:val="21"/>
          <w:szCs w:val="21"/>
        </w:rPr>
        <w:t xml:space="preserve">encapsulated in silica</w:t>
      </w:r>
      <w:r>
        <w:rPr>
          <w:rFonts w:ascii="Times New Roman" w:hAnsi="Times New Roman" w:cs="Times New Roman"/>
          <w:sz w:val="21"/>
          <w:szCs w:val="21"/>
        </w:rPr>
        <w:t xml:space="preserve"> (denoted as Fe</w:t>
      </w:r>
      <w:r>
        <w:rPr>
          <w:rFonts w:ascii="Times New Roman" w:hAnsi="Times New Roman" w:cs="Times New Roman"/>
          <w:sz w:val="21"/>
          <w:szCs w:val="21"/>
          <w:vertAlign w:val="subscript"/>
        </w:rPr>
        <w:t xml:space="preserve">3</w:t>
      </w:r>
      <w:r>
        <w:rPr>
          <w:rFonts w:ascii="Times New Roman" w:hAnsi="Times New Roman" w:cs="Times New Roman"/>
          <w:sz w:val="21"/>
          <w:szCs w:val="21"/>
        </w:rPr>
        <w:t xml:space="preserve">O</w:t>
      </w:r>
      <w:r>
        <w:rPr>
          <w:rFonts w:ascii="Times New Roman" w:hAnsi="Times New Roman" w:cs="Times New Roman"/>
          <w:sz w:val="21"/>
          <w:szCs w:val="21"/>
          <w:vertAlign w:val="subscript"/>
        </w:rPr>
        <w:t xml:space="preserve">4</w:t>
      </w:r>
      <w:r>
        <w:rPr>
          <w:rFonts w:ascii="Times New Roman" w:hAnsi="Times New Roman" w:cs="Times New Roman"/>
          <w:sz w:val="21"/>
          <w:szCs w:val="21"/>
        </w:rPr>
        <w:t xml:space="preserve">@SiO</w:t>
      </w:r>
      <w:r>
        <w:rPr>
          <w:rFonts w:ascii="Times New Roman" w:hAnsi="Times New Roman" w:cs="Times New Roman"/>
          <w:sz w:val="21"/>
          <w:szCs w:val="21"/>
          <w:vertAlign w:val="subscript"/>
        </w:rPr>
        <w:t xml:space="preserve">2</w:t>
      </w:r>
      <w:r>
        <w:rPr>
          <w:rFonts w:ascii="Times New Roman" w:hAnsi="Times New Roman" w:cs="Times New Roman"/>
          <w:sz w:val="21"/>
          <w:szCs w:val="21"/>
        </w:rPr>
        <w:t xml:space="preserve">)</w:t>
      </w:r>
      <w:r>
        <w:rPr>
          <w:rFonts w:ascii="Times New Roman" w:hAnsi="Times New Roman" w:cs="Times New Roman"/>
          <w:sz w:val="21"/>
          <w:szCs w:val="21"/>
        </w:rPr>
        <w:t xml:space="preserve">, as shown in</w:t>
      </w:r>
      <w:r>
        <w:rPr>
          <w:rFonts w:ascii="Times New Roman" w:hAnsi="Times New Roman" w:cs="Times New Roman" w:hint="eastAsia"/>
          <w:sz w:val="21"/>
          <w:szCs w:val="21"/>
        </w:rPr>
        <w:t xml:space="preserve"> </w:t>
      </w:r>
      <w:r>
        <w:rPr>
          <w:rFonts w:ascii="Times New Roman" w:hAnsi="Times New Roman" w:cs="Times New Roman" w:hint="eastAsia"/>
          <w:color w:val="FF0000"/>
          <w:sz w:val="21"/>
          <w:szCs w:val="21"/>
        </w:rPr>
        <w:t xml:space="preserve">S</w:t>
      </w:r>
      <w:r>
        <w:rPr>
          <w:rFonts w:ascii="Times New Roman" w:hAnsi="Times New Roman" w:cs="Times New Roman"/>
          <w:color w:val="FF0000"/>
          <w:sz w:val="21"/>
          <w:szCs w:val="21"/>
        </w:rPr>
        <w:t xml:space="preserve">upplementary </w:t>
      </w:r>
      <w:r>
        <w:rPr>
          <w:rFonts w:ascii="Times New Roman" w:hAnsi="Times New Roman" w:cs="Times New Roman"/>
          <w:color w:val="FF0000"/>
          <w:sz w:val="21"/>
          <w:szCs w:val="21"/>
        </w:rPr>
        <w:t xml:space="preserve">Fig. </w:t>
      </w:r>
      <w:r>
        <w:rPr>
          <w:rFonts w:ascii="Times New Roman" w:hAnsi="Times New Roman" w:cs="Times New Roman"/>
          <w:color w:val="FF0000"/>
          <w:sz w:val="21"/>
          <w:szCs w:val="21"/>
        </w:rPr>
        <w:t xml:space="preserve">1b</w:t>
      </w:r>
      <w:r>
        <w:rPr>
          <w:rFonts w:ascii="Times New Roman" w:hAnsi="Times New Roman" w:cs="Times New Roman"/>
          <w:sz w:val="21"/>
          <w:szCs w:val="21"/>
        </w:rPr>
        <w:t xml:space="preserve">. </w:t>
      </w:r>
      <w:r>
        <w:rPr>
          <w:rFonts w:ascii="Times New Roman" w:hAnsi="Times New Roman" w:cs="Times New Roman"/>
          <w:bCs/>
          <w:sz w:val="21"/>
          <w:szCs w:val="21"/>
        </w:rPr>
        <w:t xml:space="preserve">It is unfortunate that </w:t>
      </w:r>
      <w:r>
        <w:rPr>
          <w:rFonts w:ascii="Times New Roman" w:hAnsi="Times New Roman" w:cs="Times New Roman"/>
          <w:bCs/>
          <w:sz w:val="21"/>
          <w:szCs w:val="21"/>
        </w:rPr>
        <w:t xml:space="preserve">Fe</w:t>
      </w:r>
      <w:r>
        <w:rPr>
          <w:rFonts w:ascii="Times New Roman" w:hAnsi="Times New Roman" w:cs="Times New Roman"/>
          <w:bCs/>
          <w:sz w:val="21"/>
          <w:szCs w:val="21"/>
          <w:vertAlign w:val="subscript"/>
        </w:rPr>
        <w:t xml:space="preserve">3</w:t>
      </w:r>
      <w:r>
        <w:rPr>
          <w:rFonts w:ascii="Times New Roman" w:hAnsi="Times New Roman" w:cs="Times New Roman"/>
          <w:bCs/>
          <w:sz w:val="21"/>
          <w:szCs w:val="21"/>
        </w:rPr>
        <w:t xml:space="preserve">O</w:t>
      </w:r>
      <w:r>
        <w:rPr>
          <w:rFonts w:ascii="Times New Roman" w:hAnsi="Times New Roman" w:cs="Times New Roman"/>
          <w:bCs/>
          <w:sz w:val="21"/>
          <w:szCs w:val="21"/>
          <w:vertAlign w:val="subscript"/>
        </w:rPr>
        <w:t xml:space="preserve">4</w:t>
      </w:r>
      <w:r>
        <w:rPr>
          <w:rFonts w:ascii="Times New Roman" w:hAnsi="Times New Roman" w:cs="Times New Roman"/>
          <w:bCs/>
          <w:sz w:val="21"/>
          <w:szCs w:val="21"/>
        </w:rPr>
        <w:t xml:space="preserve">@</w:t>
      </w:r>
      <w:r>
        <w:rPr>
          <w:rFonts w:ascii="Times New Roman" w:hAnsi="Times New Roman" w:cs="Times New Roman"/>
          <w:bCs/>
          <w:sz w:val="21"/>
          <w:szCs w:val="21"/>
        </w:rPr>
        <w:t xml:space="preserve">SiO</w:t>
      </w:r>
      <w:r>
        <w:rPr>
          <w:rFonts w:ascii="Times New Roman" w:hAnsi="Times New Roman" w:cs="Times New Roman"/>
          <w:bCs/>
          <w:sz w:val="21"/>
          <w:szCs w:val="21"/>
          <w:vertAlign w:val="subscript"/>
        </w:rPr>
        <w:t xml:space="preserve">2</w:t>
      </w:r>
      <w:r>
        <w:rPr>
          <w:rFonts w:ascii="Times New Roman" w:hAnsi="Times New Roman" w:cs="Times New Roman"/>
          <w:bCs/>
          <w:sz w:val="21"/>
          <w:szCs w:val="21"/>
          <w:vertAlign w:val="subscript"/>
        </w:rPr>
        <w:t xml:space="preserve"> </w:t>
      </w:r>
      <w:r>
        <w:rPr>
          <w:rFonts w:ascii="Times New Roman" w:hAnsi="Times New Roman" w:cs="Times New Roman"/>
          <w:bCs/>
          <w:sz w:val="21"/>
          <w:szCs w:val="21"/>
        </w:rPr>
        <w:t xml:space="preserve">did </w:t>
      </w:r>
      <w:r>
        <w:rPr>
          <w:rFonts w:ascii="Times New Roman" w:hAnsi="Times New Roman" w:cs="Times New Roman"/>
          <w:bCs/>
          <w:sz w:val="21"/>
          <w:szCs w:val="21"/>
        </w:rPr>
        <w:t xml:space="preserve">not </w:t>
      </w:r>
      <w:r>
        <w:rPr>
          <w:rFonts w:ascii="Times New Roman" w:hAnsi="Times New Roman" w:cs="Times New Roman"/>
          <w:bCs/>
          <w:sz w:val="21"/>
          <w:szCs w:val="21"/>
        </w:rPr>
        <w:t xml:space="preserve">show</w:t>
      </w:r>
      <w:r>
        <w:rPr>
          <w:rFonts w:ascii="Times New Roman" w:hAnsi="Times New Roman" w:cs="Times New Roman"/>
          <w:bCs/>
          <w:sz w:val="21"/>
          <w:szCs w:val="21"/>
        </w:rPr>
        <w:t xml:space="preserve"> photocatalytic activity </w:t>
      </w:r>
      <w:r>
        <w:rPr>
          <w:rFonts w:ascii="Times New Roman" w:hAnsi="Times New Roman" w:cs="Times New Roman"/>
          <w:bCs/>
          <w:sz w:val="21"/>
          <w:szCs w:val="21"/>
        </w:rPr>
        <w:t xml:space="preserve">under visible light irradiation </w:t>
      </w:r>
      <w:r>
        <w:rPr>
          <w:rFonts w:ascii="Times New Roman" w:hAnsi="Times New Roman" w:cs="Times New Roman"/>
          <w:bCs/>
          <w:sz w:val="21"/>
          <w:szCs w:val="21"/>
        </w:rPr>
        <w:t xml:space="preserve">due to its large band gap</w:t>
      </w:r>
      <w:r>
        <w:rPr>
          <w:rFonts w:ascii="Times New Roman" w:hAnsi="Times New Roman" w:cs="Times New Roman"/>
          <w:bCs/>
          <w:sz w:val="21"/>
          <w:szCs w:val="21"/>
        </w:rPr>
        <w:t xml:space="preserve"> of the silica</w:t>
      </w:r>
      <w:r>
        <w:rPr>
          <w:rFonts w:ascii="Times New Roman" w:hAnsi="Times New Roman" w:cs="Times New Roman"/>
          <w:bCs/>
          <w:sz w:val="21"/>
          <w:szCs w:val="21"/>
        </w:rPr>
        <w:t xml:space="preserve">. </w:t>
      </w:r>
      <w:r>
        <w:rPr>
          <w:rFonts w:ascii="Times New Roman" w:hAnsi="Times New Roman" w:cs="Times New Roman"/>
          <w:bCs/>
          <w:sz w:val="21"/>
          <w:szCs w:val="21"/>
        </w:rPr>
        <w:t xml:space="preserve">As mentioned before, </w:t>
      </w:r>
      <w:r>
        <w:rPr>
          <w:rFonts w:ascii="Times New Roman" w:hAnsi="Times New Roman" w:cs="Times New Roman"/>
          <w:bCs/>
          <w:sz w:val="21"/>
          <w:szCs w:val="21"/>
        </w:rPr>
        <w:t xml:space="preserve">our previous study </w:t>
      </w:r>
      <w:r>
        <w:rPr>
          <w:rFonts w:ascii="Times New Roman" w:hAnsi="Times New Roman" w:cs="Times New Roman"/>
          <w:bCs/>
          <w:sz w:val="21"/>
          <w:szCs w:val="21"/>
        </w:rPr>
        <w:t xml:space="preserve">demonstrated</w:t>
      </w:r>
      <w:r>
        <w:rPr>
          <w:rFonts w:ascii="Times New Roman" w:hAnsi="Times New Roman" w:cs="Times New Roman"/>
          <w:bCs/>
          <w:sz w:val="21"/>
          <w:szCs w:val="21"/>
        </w:rPr>
        <w:t xml:space="preserve"> that N-doped TiO</w:t>
      </w:r>
      <w:r>
        <w:rPr>
          <w:rFonts w:ascii="Times New Roman" w:hAnsi="Times New Roman" w:cs="Times New Roman"/>
          <w:bCs/>
          <w:sz w:val="21"/>
          <w:szCs w:val="21"/>
          <w:vertAlign w:val="subscript"/>
        </w:rPr>
        <w:t xml:space="preserve">2</w:t>
      </w:r>
      <w:r>
        <w:rPr>
          <w:rFonts w:ascii="Times New Roman" w:hAnsi="Times New Roman" w:cs="Times New Roman"/>
          <w:bCs/>
          <w:sz w:val="21"/>
          <w:szCs w:val="21"/>
        </w:rPr>
        <w:t xml:space="preserve"> showed an outstanding performance toward the POWS reaction</w:t>
      </w:r>
      <w:r>
        <w:rPr>
          <w:rFonts w:ascii="Times New Roman" w:hAnsi="Times New Roman" w:cs="Times New Roman"/>
          <w:bCs/>
          <w:sz w:val="21"/>
          <w:szCs w:val="21"/>
        </w:rPr>
        <w:t xml:space="preserve"> at elevated temperature</w:t>
      </w:r>
      <w:r>
        <w:rPr>
          <w:rFonts w:ascii="Times New Roman" w:hAnsi="Times New Roman" w:cs="Times New Roman"/>
          <w:bCs/>
          <w:sz w:val="21"/>
          <w:szCs w:val="21"/>
        </w:rPr>
        <w:fldChar w:fldCharType="begin"/>
      </w:r>
      <w:r>
        <w:rPr>
          <w:rFonts w:ascii="Times New Roman" w:hAnsi="Times New Roman" w:cs="Times New Roman"/>
          <w:bCs/>
          <w:sz w:val="21"/>
          <w:szCs w:val="21"/>
        </w:rPr>
        <w:instrText xml:space="preserve">ADDIN CSL_CITATION {"citationItems":[{"id":"ITEM-1","itemData":{"DOI":"10.1038/s41</w:instrText>
      </w:r>
      <w:r>
        <w:rPr>
          <w:rFonts w:ascii="Times New Roman" w:hAnsi="Times New Roman" w:cs="Times New Roman"/>
          <w:bCs/>
          <w:sz w:val="21"/>
          <w:szCs w:val="21"/>
        </w:rPr>
        <w:instrText xml:space="preserve">467-019-12385-1","ISSN":"20411723","abstract":"Photocatalytic water splitting is attracting enormous interest for the storage of solar energy but no practical method has yet been identified. In the past decades, various systems have been developed but most</w:instrText>
      </w:r>
      <w:r>
        <w:rPr>
          <w:rFonts w:ascii="Times New Roman" w:hAnsi="Times New Roman" w:cs="Times New Roman"/>
          <w:bCs/>
          <w:sz w:val="21"/>
          <w:szCs w:val="21"/>
        </w:rPr>
        <w:instrText xml:space="preserve"> of them suffer from low activities, a narrow range of absorption and poor quantum efficiencies (Q.E.) due to fast recombination of charge carriers. Here we report a dramatic suppression of electron-hole pair recombination on the surface of N-doped TiO2 ba</w:instrText>
      </w:r>
      <w:r>
        <w:rPr>
          <w:rFonts w:ascii="Times New Roman" w:hAnsi="Times New Roman" w:cs="Times New Roman"/>
          <w:bCs/>
          <w:sz w:val="21"/>
          <w:szCs w:val="21"/>
        </w:rPr>
        <w:instrText xml:space="preserve">sed nanocatalysts under enhanced concentrations of H+ and OH−, and local electric field polarization of a MgO (111) support during photolysis of water at elevated temperatures. Thus, a broad optical absorption is seen, producing O2 and H2 in a 1:2 molar ra</w:instrText>
      </w:r>
      <w:r>
        <w:rPr>
          <w:rFonts w:ascii="Times New Roman" w:hAnsi="Times New Roman" w:cs="Times New Roman"/>
          <w:bCs/>
          <w:sz w:val="21"/>
          <w:szCs w:val="21"/>
        </w:rPr>
        <w:instrText xml:space="preserve">tio with a H2 evolution rate of over 11,000 μmol g−1 h−1 without any sacrificial reagents at 270 °C. An exceptional range of Q.E. from 81.8% at 437 nm to 3.2% at 1000 nm is also reported.","author":[{"dropping-particle":"","family":"Li","given":"Yiyang","n</w:instrText>
      </w:r>
      <w:r>
        <w:rPr>
          <w:rFonts w:ascii="Times New Roman" w:hAnsi="Times New Roman" w:cs="Times New Roman"/>
          <w:bCs/>
          <w:sz w:val="21"/>
          <w:szCs w:val="21"/>
        </w:rPr>
        <w:instrText xml:space="preserve">on-dropping-particle":"","parse-names":false,"suffix":""},{"dropping-particle":"","family":"Peng","given":"Yung-Kang","non-dropping-particle":"","parse-names":false,"suffix":""},{"dropping-particle":"","family":"Hu","given":"Liangsheng","non-dropping-parti</w:instrText>
      </w:r>
      <w:r>
        <w:rPr>
          <w:rFonts w:ascii="Times New Roman" w:hAnsi="Times New Roman" w:cs="Times New Roman"/>
          <w:bCs/>
          <w:sz w:val="21"/>
          <w:szCs w:val="21"/>
        </w:rPr>
        <w:instrText xml:space="preserve">cle":"","parse-names":false,"suffix":""},{"dropping-particle":"","family":"Zheng","given":"Jianwei","non-dropping-particle":"","parse-names":false,"suffix":""},{"dropping-particle":"","family":"Prabhakaran","given":"Dharmalingam","non-dropping-particle":""</w:instrText>
      </w:r>
      <w:r>
        <w:rPr>
          <w:rFonts w:ascii="Times New Roman" w:hAnsi="Times New Roman" w:cs="Times New Roman"/>
          <w:bCs/>
          <w:sz w:val="21"/>
          <w:szCs w:val="21"/>
        </w:rPr>
        <w:instrText xml:space="preserve">,"parse-names":false,"suffix":""},{"dropping-particle":"","family":"Wu","given":"Simson","non-dropping-particle":"","parse-names":false,"suffix":""},{"dropping-particle":"","family":"Puchtler","given":"Timothy J.","non-dropping-particle":"","parse-names":f</w:instrText>
      </w:r>
      <w:r>
        <w:rPr>
          <w:rFonts w:ascii="Times New Roman" w:hAnsi="Times New Roman" w:cs="Times New Roman"/>
          <w:bCs/>
          <w:sz w:val="21"/>
          <w:szCs w:val="21"/>
        </w:rPr>
        <w:instrText xml:space="preserve">alse,"suffix":""},{"dropping-particle":"","family":"Li","given":"Mo","non-dropping-particle":"","parse-names":false,"suffix":""},{"dropping-particle":"","family":"Wong","given":"Kwok-Yin","non-dropping-particle":"","parse-names":false,"suffix":""},{"droppi</w:instrText>
      </w:r>
      <w:r>
        <w:rPr>
          <w:rFonts w:ascii="Times New Roman" w:hAnsi="Times New Roman" w:cs="Times New Roman"/>
          <w:bCs/>
          <w:sz w:val="21"/>
          <w:szCs w:val="21"/>
        </w:rPr>
        <w:instrText xml:space="preserve">ng-particle":"","family":"Taylor","given":"Robert A.","non-dropping-particle":"","parse-names":false,"suffix":""},{"dropping-particle":"","family":"Tsang","given":"Shik Chi Edman","non-dropping-particle":"","parse-names":false,"suffix":""}],"container-titl</w:instrText>
      </w:r>
      <w:r>
        <w:rPr>
          <w:rFonts w:ascii="Times New Roman" w:hAnsi="Times New Roman" w:cs="Times New Roman"/>
          <w:bCs/>
          <w:sz w:val="21"/>
          <w:szCs w:val="21"/>
        </w:rPr>
        <w:instrText xml:space="preserve">e":"Nature Communications","id":"ITEM-1","issued":{"date-parts":[["2019"]]},"page":"4421","title":"Photocatalytic water splitting by N-TiO2 on MgO (111) with exceptional quantum efficiencies at elevated temperatures","type":"article-journal","volume":"10"}</w:instrText>
      </w:r>
      <w:r>
        <w:rPr>
          <w:rFonts w:ascii="Times New Roman" w:hAnsi="Times New Roman" w:cs="Times New Roman"/>
          <w:bCs/>
          <w:sz w:val="21"/>
          <w:szCs w:val="21"/>
        </w:rPr>
        <w:instrText xml:space="preserve">,"uris":["http://www.mendeley.com/documents/?uuid=056ce234-319b-4fc1-b7da-45ef91bf4e9e"]},{"id":"ITEM-2","itemData":{"DOI":"10.1016/j.mtsust.2020.100032","ISSN":"2589-2347","abstract":"© 2020 Elsevier Ltd Solar light-driven water splitting provides a promi</w:instrText>
      </w:r>
      <w:r>
        <w:rPr>
          <w:rFonts w:ascii="Times New Roman" w:hAnsi="Times New Roman" w:cs="Times New Roman"/>
          <w:bCs/>
          <w:sz w:val="21"/>
          <w:szCs w:val="21"/>
        </w:rPr>
        <w:instrText xml:space="preserve">sing way to store and use abundant solar energy in the form of gaseous hydrogen which is the cleanest chemical fuel for mankind; therefore this field has been attracting increasing attention over the past decades. The fundamental steps for efficient photoc</w:instrText>
      </w:r>
      <w:r>
        <w:rPr>
          <w:rFonts w:ascii="Times New Roman" w:hAnsi="Times New Roman" w:cs="Times New Roman"/>
          <w:bCs/>
          <w:sz w:val="21"/>
          <w:szCs w:val="21"/>
        </w:rPr>
        <w:instrText xml:space="preserve">atalyst for water splitting include uptake of photons of targeted energy range by appropriate electronic band structure, excited electrons and holes (excitons) migration, as well as recombination and selective conversion excited electrons for H+ reduction </w:instrText>
      </w:r>
      <w:r>
        <w:rPr>
          <w:rFonts w:ascii="Times New Roman" w:hAnsi="Times New Roman" w:cs="Times New Roman"/>
          <w:bCs/>
          <w:sz w:val="21"/>
          <w:szCs w:val="21"/>
        </w:rPr>
        <w:instrText xml:space="preserve">to H2 and holes and OH− to O2 on catalyst surface. Each step if not efficiently taken place could hamper the overall photocatalytic activity. Numerous semiconductors with appropriate bandgaps have mainly been developed as candidates for effective solar ene</w:instrText>
      </w:r>
      <w:r>
        <w:rPr>
          <w:rFonts w:ascii="Times New Roman" w:hAnsi="Times New Roman" w:cs="Times New Roman"/>
          <w:bCs/>
          <w:sz w:val="21"/>
          <w:szCs w:val="21"/>
        </w:rPr>
        <w:instrText xml:space="preserve">rgy capture, whereas at present, their low quantum efficiency still remains as the major obstacle in further applications. In this minireview, we will disentangle the progress to develop photocatalysts with good photon uptake from photocatalytic water spli</w:instrText>
      </w:r>
      <w:r>
        <w:rPr>
          <w:rFonts w:ascii="Times New Roman" w:hAnsi="Times New Roman" w:cs="Times New Roman"/>
          <w:bCs/>
          <w:sz w:val="21"/>
          <w:szCs w:val="21"/>
        </w:rPr>
        <w:instrText xml:space="preserve">tting performance. In accordance with the thermodynamic and kinetic considerations of the photocatalytic water splitting reaction, different strategies for improving the fundamental processes have been briefly reviewed. Some recent advances in facilitating</w:instrText>
      </w:r>
      <w:r>
        <w:rPr>
          <w:rFonts w:ascii="Times New Roman" w:hAnsi="Times New Roman" w:cs="Times New Roman"/>
          <w:bCs/>
          <w:sz w:val="21"/>
          <w:szCs w:val="21"/>
        </w:rPr>
        <w:instrText xml:space="preserve"> charge carriers separation have also been presented. Photocatalytic water splitting at elevated temperatures is emphasized as a novel approach to suppress photo-excitons recombination on catalyst surface owing to adsorption of enhanced concentration of io</w:instrText>
      </w:r>
      <w:r>
        <w:rPr>
          <w:rFonts w:ascii="Times New Roman" w:hAnsi="Times New Roman" w:cs="Times New Roman"/>
          <w:bCs/>
          <w:sz w:val="21"/>
          <w:szCs w:val="21"/>
        </w:rPr>
        <w:instrText xml:space="preserve">nic species including H+ and OH− to create their local polarization to the excitons. Stronger polarization to hinder the excitons recombination can also be obtained by using polar-faceted support materials to the active phase of semiconductor. It is clearl</w:instrText>
      </w:r>
      <w:r>
        <w:rPr>
          <w:rFonts w:ascii="Times New Roman" w:hAnsi="Times New Roman" w:cs="Times New Roman"/>
          <w:bCs/>
          <w:sz w:val="21"/>
          <w:szCs w:val="21"/>
        </w:rPr>
        <w:instrText xml:space="preserve">y demonstrated in this minireview that such high temperature–promoted photocatalytic water splitting systems could open up a new direction and provide a new innovation to this field.","author":[{"dropping-particle":"","family":"Li","given":"Yiyang","non-dr</w:instrText>
      </w:r>
      <w:r>
        <w:rPr>
          <w:rFonts w:ascii="Times New Roman" w:hAnsi="Times New Roman" w:cs="Times New Roman"/>
          <w:bCs/>
          <w:sz w:val="21"/>
          <w:szCs w:val="21"/>
        </w:rPr>
        <w:instrText xml:space="preserve">opping-particle":"","parse-names":false,"suffix":""},{"dropping-particle":"","family":"Tsang","given":"Shik Chi Edman","non-dropping-particle":"","parse-names":false,"suffix":""}],"container-title":"Materials Today Sustainability","id":"ITEM-2","issued":{"</w:instrText>
      </w:r>
      <w:r>
        <w:rPr>
          <w:rFonts w:ascii="Times New Roman" w:hAnsi="Times New Roman" w:cs="Times New Roman"/>
          <w:bCs/>
          <w:sz w:val="21"/>
          <w:szCs w:val="21"/>
        </w:rPr>
        <w:instrText xml:space="preserve">date-parts":[["2020"]]},"page":"100032","title":"Recent Progress and Strategies for Enhancing Photocatalytic Water Splitting","type":"article-journal","volume":"9"},"uris":["http://www.mendeley.com/documents/?uuid=2483132f-f905-405a-b7eb-e9b9767ba602"]}],"</w:instrText>
      </w:r>
      <w:r>
        <w:rPr>
          <w:rFonts w:ascii="Times New Roman" w:hAnsi="Times New Roman" w:cs="Times New Roman"/>
          <w:bCs/>
          <w:sz w:val="21"/>
          <w:szCs w:val="21"/>
        </w:rPr>
        <w:instrText xml:space="preserve">mendeley":{"formattedCitation":"&lt;sup&gt;11,26&lt;/sup&gt;","plainTextFormattedCitation":"11,26","previouslyFormattedCitation":"&lt;sup&gt;11,26&lt;/sup&gt;"},"properties":{"noteIndex":0},"schema":"https://github.com/citation-style-language/schema/raw/master/csl-citation.json"}</w:instrText>
      </w:r>
      <w:r>
        <w:rPr>
          <w:rFonts w:ascii="Times New Roman" w:hAnsi="Times New Roman" w:cs="Times New Roman"/>
          <w:bCs/>
          <w:sz w:val="21"/>
          <w:szCs w:val="21"/>
        </w:rPr>
        <w:fldChar w:fldCharType="separate"/>
      </w:r>
      <w:r>
        <w:rPr>
          <w:rFonts w:ascii="Times New Roman" w:hAnsi="Times New Roman" w:cs="Times New Roman"/>
          <w:bCs/>
          <w:sz w:val="21"/>
          <w:szCs w:val="21"/>
          <w:vertAlign w:val="superscript"/>
        </w:rPr>
        <w:t xml:space="preserve">11,26</w:t>
      </w:r>
      <w:r>
        <w:rPr>
          <w:rFonts w:ascii="Times New Roman" w:hAnsi="Times New Roman" w:cs="Times New Roman"/>
          <w:bCs/>
          <w:sz w:val="21"/>
          <w:szCs w:val="21"/>
        </w:rPr>
        <w:fldChar w:fldCharType="end"/>
      </w:r>
      <w:r>
        <w:rPr>
          <w:rFonts w:ascii="Times New Roman" w:hAnsi="Times New Roman" w:cs="Times New Roman"/>
          <w:bCs/>
          <w:sz w:val="21"/>
          <w:szCs w:val="21"/>
        </w:rPr>
        <w:t xml:space="preserve">. Therefore, </w:t>
      </w:r>
      <w:r>
        <w:rPr>
          <w:rFonts w:ascii="Times New Roman" w:hAnsi="Times New Roman" w:cs="Times New Roman"/>
          <w:sz w:val="21"/>
          <w:szCs w:val="21"/>
        </w:rPr>
        <w:t xml:space="preserve">the </w:t>
      </w:r>
      <w:r>
        <w:rPr>
          <w:rFonts w:ascii="Times New Roman" w:hAnsi="Times New Roman" w:cs="Times New Roman" w:hint="eastAsia"/>
          <w:sz w:val="21"/>
          <w:szCs w:val="21"/>
        </w:rPr>
        <w:t xml:space="preserve">F</w:t>
      </w:r>
      <w:r>
        <w:rPr>
          <w:rFonts w:ascii="Times New Roman" w:hAnsi="Times New Roman" w:cs="Times New Roman"/>
          <w:sz w:val="21"/>
          <w:szCs w:val="21"/>
        </w:rPr>
        <w:t xml:space="preserve">e</w:t>
      </w:r>
      <w:r>
        <w:rPr>
          <w:rFonts w:ascii="Times New Roman" w:hAnsi="Times New Roman" w:cs="Times New Roman"/>
          <w:sz w:val="21"/>
          <w:szCs w:val="21"/>
          <w:vertAlign w:val="subscript"/>
        </w:rPr>
        <w:t xml:space="preserve">3</w:t>
      </w:r>
      <w:r>
        <w:rPr>
          <w:rFonts w:ascii="Times New Roman" w:hAnsi="Times New Roman" w:cs="Times New Roman"/>
          <w:sz w:val="21"/>
          <w:szCs w:val="21"/>
        </w:rPr>
        <w:t xml:space="preserve">O</w:t>
      </w:r>
      <w:r>
        <w:rPr>
          <w:rFonts w:ascii="Times New Roman" w:hAnsi="Times New Roman" w:cs="Times New Roman"/>
          <w:sz w:val="21"/>
          <w:szCs w:val="21"/>
          <w:vertAlign w:val="subscript"/>
        </w:rPr>
        <w:t xml:space="preserve">4</w:t>
      </w:r>
      <w:r>
        <w:rPr>
          <w:rFonts w:ascii="Times New Roman" w:hAnsi="Times New Roman" w:cs="Times New Roman"/>
          <w:sz w:val="21"/>
          <w:szCs w:val="21"/>
        </w:rPr>
        <w:t xml:space="preserve"> </w:t>
      </w:r>
      <w:r>
        <w:rPr>
          <w:rFonts w:ascii="Times New Roman" w:hAnsi="Times New Roman" w:cs="Times New Roman"/>
          <w:sz w:val="21"/>
          <w:szCs w:val="21"/>
        </w:rPr>
        <w:t xml:space="preserve">NPs</w:t>
      </w:r>
      <w:r>
        <w:rPr>
          <w:rFonts w:ascii="Times New Roman" w:hAnsi="Times New Roman" w:cs="Times New Roman"/>
          <w:sz w:val="21"/>
          <w:szCs w:val="21"/>
        </w:rPr>
        <w:t xml:space="preserve"> was then</w:t>
      </w:r>
      <w:r>
        <w:rPr>
          <w:rFonts w:ascii="Times New Roman" w:hAnsi="Times New Roman" w:cs="Times New Roman" w:hint="eastAsia"/>
          <w:sz w:val="21"/>
          <w:szCs w:val="21"/>
        </w:rPr>
        <w:t xml:space="preserve"> </w:t>
      </w:r>
      <w:r>
        <w:rPr>
          <w:rFonts w:ascii="Times New Roman" w:hAnsi="Times New Roman" w:cs="Times New Roman"/>
          <w:sz w:val="21"/>
          <w:szCs w:val="21"/>
        </w:rPr>
        <w:t xml:space="preserve">combined with</w:t>
      </w:r>
      <w:r>
        <w:rPr>
          <w:rFonts w:ascii="Times New Roman" w:hAnsi="Times New Roman" w:cs="Times New Roman"/>
          <w:sz w:val="21"/>
          <w:szCs w:val="21"/>
        </w:rPr>
        <w:t xml:space="preserve"> TiO</w:t>
      </w:r>
      <w:r>
        <w:rPr>
          <w:rFonts w:ascii="Times New Roman" w:hAnsi="Times New Roman" w:cs="Times New Roman"/>
          <w:sz w:val="21"/>
          <w:szCs w:val="21"/>
          <w:vertAlign w:val="subscript"/>
        </w:rPr>
        <w:t xml:space="preserve">2</w:t>
      </w:r>
      <w:r>
        <w:rPr>
          <w:rFonts w:ascii="Times New Roman" w:hAnsi="Times New Roman" w:cs="Times New Roman" w:hint="eastAsia"/>
          <w:sz w:val="21"/>
          <w:szCs w:val="21"/>
        </w:rPr>
        <w:t xml:space="preserve"> </w:t>
      </w:r>
      <w:r>
        <w:rPr>
          <w:rFonts w:ascii="Times New Roman" w:hAnsi="Times New Roman" w:cs="Times New Roman"/>
          <w:sz w:val="21"/>
          <w:szCs w:val="21"/>
        </w:rPr>
        <w:t xml:space="preserve">via </w:t>
      </w:r>
      <w:r>
        <w:rPr>
          <w:rFonts w:ascii="Times New Roman" w:hAnsi="Times New Roman" w:cs="Times New Roman"/>
          <w:sz w:val="21"/>
          <w:szCs w:val="21"/>
        </w:rPr>
        <w:t xml:space="preserve">a</w:t>
      </w:r>
      <w:r>
        <w:rPr>
          <w:rFonts w:ascii="Times New Roman" w:hAnsi="Times New Roman" w:cs="Times New Roman"/>
          <w:sz w:val="21"/>
          <w:szCs w:val="21"/>
        </w:rPr>
        <w:t xml:space="preserve"> sol-gel process, followed by high temperature ammonia treatment for </w:t>
      </w:r>
      <w:r>
        <w:rPr>
          <w:rFonts w:ascii="Times New Roman" w:hAnsi="Times New Roman" w:cs="Times New Roman"/>
          <w:sz w:val="21"/>
          <w:szCs w:val="21"/>
        </w:rPr>
        <w:t xml:space="preserve">the </w:t>
      </w:r>
      <w:r>
        <w:rPr>
          <w:rFonts w:ascii="Times New Roman" w:hAnsi="Times New Roman" w:cs="Times New Roman"/>
          <w:sz w:val="21"/>
          <w:szCs w:val="21"/>
        </w:rPr>
        <w:t xml:space="preserve">nitrogen </w:t>
      </w:r>
      <w:r>
        <w:rPr>
          <w:rFonts w:ascii="Times New Roman" w:hAnsi="Times New Roman" w:cs="Times New Roman"/>
          <w:sz w:val="21"/>
          <w:szCs w:val="21"/>
        </w:rPr>
        <w:t xml:space="preserve">doping</w:t>
      </w:r>
      <w:r>
        <w:rPr>
          <w:rFonts w:ascii="Times New Roman" w:hAnsi="Times New Roman" w:cs="Times New Roman"/>
          <w:sz w:val="21"/>
          <w:szCs w:val="21"/>
        </w:rPr>
        <w:t xml:space="preserve">, where the</w:t>
      </w:r>
      <w:r>
        <w:rPr>
          <w:rFonts w:ascii="Times New Roman" w:hAnsi="Times New Roman" w:cs="Times New Roman"/>
          <w:sz w:val="21"/>
          <w:szCs w:val="21"/>
        </w:rPr>
        <w:t xml:space="preserve"> designate</w:t>
      </w:r>
      <w:r>
        <w:rPr>
          <w:rFonts w:ascii="Times New Roman" w:hAnsi="Times New Roman" w:cs="Times New Roman"/>
          <w:sz w:val="21"/>
          <w:szCs w:val="21"/>
        </w:rPr>
        <w:t xml:space="preserve"> content of Fe</w:t>
      </w:r>
      <w:r>
        <w:rPr>
          <w:rFonts w:ascii="Times New Roman" w:hAnsi="Times New Roman" w:cs="Times New Roman"/>
          <w:sz w:val="21"/>
          <w:szCs w:val="21"/>
          <w:vertAlign w:val="subscript"/>
        </w:rPr>
        <w:t xml:space="preserve">3</w:t>
      </w:r>
      <w:r>
        <w:rPr>
          <w:rFonts w:ascii="Times New Roman" w:hAnsi="Times New Roman" w:cs="Times New Roman"/>
          <w:sz w:val="21"/>
          <w:szCs w:val="21"/>
        </w:rPr>
        <w:t xml:space="preserve">O</w:t>
      </w:r>
      <w:r>
        <w:rPr>
          <w:rFonts w:ascii="Times New Roman" w:hAnsi="Times New Roman" w:cs="Times New Roman"/>
          <w:sz w:val="21"/>
          <w:szCs w:val="21"/>
          <w:vertAlign w:val="subscript"/>
        </w:rPr>
        <w:t xml:space="preserve">4</w:t>
      </w:r>
      <w:r>
        <w:rPr>
          <w:rFonts w:ascii="Times New Roman" w:hAnsi="Times New Roman" w:cs="Times New Roman"/>
          <w:sz w:val="21"/>
          <w:szCs w:val="21"/>
        </w:rPr>
        <w:t xml:space="preserve"> is </w:t>
      </w:r>
      <w:r>
        <w:rPr>
          <w:rFonts w:ascii="Times New Roman" w:hAnsi="Times New Roman" w:cs="Times New Roman"/>
          <w:sz w:val="21"/>
          <w:szCs w:val="21"/>
        </w:rPr>
        <w:t xml:space="preserve">2</w:t>
      </w:r>
      <w:r>
        <w:rPr>
          <w:rFonts w:ascii="Times New Roman" w:hAnsi="Times New Roman" w:cs="Times New Roman"/>
          <w:sz w:val="21"/>
          <w:szCs w:val="21"/>
        </w:rPr>
        <w:t xml:space="preserve">0%</w:t>
      </w:r>
      <w:r>
        <w:rPr>
          <w:rFonts w:ascii="Times New Roman" w:hAnsi="Times New Roman" w:cs="Times New Roman"/>
          <w:sz w:val="21"/>
          <w:szCs w:val="21"/>
        </w:rPr>
        <w:t xml:space="preserve"> (denoted as Fe</w:t>
      </w:r>
      <w:r>
        <w:rPr>
          <w:rFonts w:ascii="Times New Roman" w:hAnsi="Times New Roman" w:cs="Times New Roman"/>
          <w:sz w:val="21"/>
          <w:szCs w:val="21"/>
          <w:vertAlign w:val="subscript"/>
        </w:rPr>
        <w:t xml:space="preserve">3</w:t>
      </w:r>
      <w:r>
        <w:rPr>
          <w:rFonts w:ascii="Times New Roman" w:hAnsi="Times New Roman" w:cs="Times New Roman"/>
          <w:sz w:val="21"/>
          <w:szCs w:val="21"/>
        </w:rPr>
        <w:t xml:space="preserve">O</w:t>
      </w:r>
      <w:r>
        <w:rPr>
          <w:rFonts w:ascii="Times New Roman" w:hAnsi="Times New Roman" w:cs="Times New Roman"/>
          <w:sz w:val="21"/>
          <w:szCs w:val="21"/>
          <w:vertAlign w:val="subscript"/>
        </w:rPr>
        <w:t xml:space="preserve">4</w:t>
      </w:r>
      <w:r>
        <w:rPr>
          <w:rFonts w:ascii="Times New Roman" w:hAnsi="Times New Roman" w:cs="Times New Roman"/>
          <w:sz w:val="21"/>
          <w:szCs w:val="21"/>
        </w:rPr>
        <w:t xml:space="preserve">/</w:t>
      </w:r>
      <w:r>
        <w:rPr>
          <w:rFonts w:ascii="Times New Roman" w:hAnsi="Times New Roman" w:cs="Times New Roman"/>
          <w:sz w:val="21"/>
          <w:szCs w:val="21"/>
        </w:rPr>
        <w:t xml:space="preserve">N-TiO</w:t>
      </w:r>
      <w:r>
        <w:rPr>
          <w:rFonts w:ascii="Times New Roman" w:hAnsi="Times New Roman" w:cs="Times New Roman"/>
          <w:sz w:val="21"/>
          <w:szCs w:val="21"/>
          <w:vertAlign w:val="subscript"/>
        </w:rPr>
        <w:t xml:space="preserve">2</w:t>
      </w:r>
      <w:r>
        <w:rPr>
          <w:rFonts w:ascii="Times New Roman" w:hAnsi="Times New Roman" w:cs="Times New Roman"/>
          <w:sz w:val="21"/>
          <w:szCs w:val="21"/>
        </w:rPr>
        <w:t xml:space="preserve">-</w:t>
      </w:r>
      <w:r>
        <w:rPr>
          <w:rFonts w:ascii="Times New Roman" w:hAnsi="Times New Roman" w:cs="Times New Roman"/>
          <w:sz w:val="21"/>
          <w:szCs w:val="21"/>
        </w:rPr>
        <w:t xml:space="preserve">2</w:t>
      </w:r>
      <w:r>
        <w:rPr>
          <w:rFonts w:ascii="Times New Roman" w:hAnsi="Times New Roman" w:cs="Times New Roman"/>
          <w:sz w:val="21"/>
          <w:szCs w:val="21"/>
        </w:rPr>
        <w:t xml:space="preserve">) (</w:t>
      </w:r>
      <w:r>
        <w:rPr>
          <w:rFonts w:ascii="Times New Roman" w:hAnsi="Times New Roman" w:cs="Times New Roman"/>
          <w:sz w:val="21"/>
          <w:szCs w:val="21"/>
        </w:rPr>
        <w:t xml:space="preserve">the magnetic particles encapsulated in TiO</w:t>
      </w:r>
      <w:r>
        <w:rPr>
          <w:rFonts w:ascii="Times New Roman" w:hAnsi="Times New Roman" w:cs="Times New Roman"/>
          <w:sz w:val="21"/>
          <w:szCs w:val="21"/>
          <w:vertAlign w:val="subscript"/>
        </w:rPr>
        <w:t xml:space="preserve">2</w:t>
      </w:r>
      <w:r>
        <w:rPr>
          <w:rFonts w:ascii="Times New Roman" w:hAnsi="Times New Roman" w:cs="Times New Roman"/>
          <w:sz w:val="21"/>
          <w:szCs w:val="21"/>
        </w:rPr>
        <w:t xml:space="preserve"> matrix with a degree of aggregation can be seen in </w:t>
      </w:r>
      <w:r>
        <w:rPr>
          <w:rFonts w:ascii="Times New Roman" w:hAnsi="Times New Roman" w:cs="Times New Roman"/>
          <w:color w:val="FF0000"/>
          <w:sz w:val="21"/>
          <w:szCs w:val="21"/>
        </w:rPr>
        <w:t xml:space="preserve">Fig. 1d</w:t>
      </w:r>
      <w:r>
        <w:rPr>
          <w:rFonts w:ascii="Times New Roman" w:hAnsi="Times New Roman" w:cs="Times New Roman"/>
          <w:sz w:val="21"/>
          <w:szCs w:val="21"/>
        </w:rPr>
        <w:t xml:space="preserve">,</w:t>
      </w:r>
      <w:r>
        <w:rPr>
          <w:rFonts w:ascii="Times New Roman" w:hAnsi="Times New Roman" w:cs="Times New Roman"/>
          <w:color w:val="FF0000"/>
          <w:sz w:val="21"/>
          <w:szCs w:val="21"/>
        </w:rPr>
        <w:t xml:space="preserve"> </w:t>
      </w:r>
      <w:r>
        <w:rPr>
          <w:rFonts w:ascii="Times New Roman" w:hAnsi="Times New Roman" w:cs="Times New Roman"/>
          <w:color w:val="FF0000"/>
          <w:sz w:val="21"/>
          <w:szCs w:val="21"/>
        </w:rPr>
        <w:t xml:space="preserve">Supp</w:t>
      </w:r>
      <w:r>
        <w:rPr>
          <w:rFonts w:ascii="Times New Roman" w:hAnsi="Times New Roman" w:cs="Times New Roman"/>
          <w:color w:val="FF0000"/>
          <w:sz w:val="21"/>
          <w:szCs w:val="21"/>
        </w:rPr>
        <w:t xml:space="preserve">lementary </w:t>
      </w:r>
      <w:r>
        <w:rPr>
          <w:rFonts w:ascii="Times New Roman" w:hAnsi="Times New Roman" w:cs="Times New Roman"/>
          <w:color w:val="FF0000"/>
          <w:sz w:val="21"/>
          <w:szCs w:val="21"/>
        </w:rPr>
        <w:t xml:space="preserve">Fig. </w:t>
      </w:r>
      <w:r>
        <w:rPr>
          <w:rFonts w:ascii="Times New Roman" w:hAnsi="Times New Roman" w:cs="Times New Roman"/>
          <w:color w:val="FF0000"/>
          <w:sz w:val="21"/>
          <w:szCs w:val="21"/>
        </w:rPr>
        <w:t xml:space="preserve">3</w:t>
      </w:r>
      <w:r>
        <w:rPr>
          <w:rFonts w:ascii="Times New Roman" w:hAnsi="Times New Roman" w:cs="Times New Roman" w:hint="eastAsia"/>
          <w:color w:val="FF0000"/>
          <w:sz w:val="21"/>
          <w:szCs w:val="21"/>
        </w:rPr>
        <w:t xml:space="preserve"> </w:t>
      </w:r>
      <w:r>
        <w:rPr>
          <w:rFonts w:ascii="Times New Roman" w:hAnsi="Times New Roman" w:cs="Times New Roman"/>
          <w:sz w:val="21"/>
          <w:szCs w:val="21"/>
        </w:rPr>
        <w:t xml:space="preserve">and </w:t>
      </w:r>
      <w:r>
        <w:rPr>
          <w:rFonts w:ascii="Times New Roman" w:hAnsi="Times New Roman" w:cs="Times New Roman"/>
          <w:color w:val="FF0000"/>
          <w:sz w:val="21"/>
          <w:szCs w:val="21"/>
        </w:rPr>
        <w:t xml:space="preserve">Supplementary Fig. 4</w:t>
      </w:r>
      <w:r>
        <w:rPr>
          <w:rFonts w:ascii="Times New Roman" w:hAnsi="Times New Roman" w:cs="Times New Roman"/>
          <w:sz w:val="21"/>
          <w:szCs w:val="21"/>
        </w:rPr>
        <w:t xml:space="preserve">).</w:t>
      </w:r>
      <w:r>
        <w:rPr>
          <w:rFonts w:ascii="Times New Roman" w:hAnsi="Times New Roman" w:cs="Times New Roman" w:hint="eastAsia"/>
          <w:sz w:val="21"/>
          <w:szCs w:val="21"/>
        </w:rPr>
        <w:t xml:space="preserve"> </w:t>
      </w:r>
      <w:r>
        <w:rPr>
          <w:rFonts w:ascii="Times New Roman" w:hAnsi="Times New Roman" w:cs="Times New Roman"/>
          <w:bCs/>
          <w:sz w:val="21"/>
          <w:szCs w:val="21"/>
        </w:rPr>
        <w:t xml:space="preserve">XRD</w:t>
      </w:r>
      <w:r>
        <w:rPr>
          <w:rFonts w:ascii="Times New Roman" w:hAnsi="Times New Roman" w:cs="Times New Roman"/>
          <w:bCs/>
          <w:sz w:val="21"/>
          <w:szCs w:val="21"/>
        </w:rPr>
        <w:t xml:space="preserve"> indicated </w:t>
      </w:r>
      <w:r>
        <w:rPr>
          <w:rFonts w:ascii="Times New Roman" w:hAnsi="Times New Roman" w:cs="Times New Roman"/>
          <w:bCs/>
          <w:sz w:val="21"/>
          <w:szCs w:val="21"/>
        </w:rPr>
        <w:t xml:space="preserve">the </w:t>
      </w:r>
      <w:r>
        <w:rPr>
          <w:rFonts w:ascii="Times New Roman" w:hAnsi="Times New Roman" w:cs="Times New Roman"/>
          <w:bCs/>
          <w:sz w:val="21"/>
          <w:szCs w:val="21"/>
        </w:rPr>
        <w:t xml:space="preserve">existence of </w:t>
      </w:r>
      <w:r>
        <w:rPr>
          <w:rFonts w:ascii="Times New Roman" w:hAnsi="Times New Roman" w:cs="Times New Roman"/>
          <w:bCs/>
          <w:sz w:val="21"/>
          <w:szCs w:val="21"/>
        </w:rPr>
        <w:t xml:space="preserve">anatase phase TiO</w:t>
      </w:r>
      <w:r>
        <w:rPr>
          <w:rFonts w:ascii="Times New Roman" w:hAnsi="Times New Roman" w:cs="Times New Roman"/>
          <w:bCs/>
          <w:sz w:val="21"/>
          <w:szCs w:val="21"/>
          <w:vertAlign w:val="subscript"/>
        </w:rPr>
        <w:t xml:space="preserve">2</w:t>
      </w:r>
      <w:r>
        <w:rPr>
          <w:rFonts w:ascii="Times New Roman" w:hAnsi="Times New Roman" w:cs="Times New Roman"/>
          <w:bCs/>
          <w:sz w:val="21"/>
          <w:szCs w:val="21"/>
        </w:rPr>
        <w:t xml:space="preserve">, and no phase transformation to rutile phase </w:t>
      </w:r>
      <w:r>
        <w:rPr>
          <w:rFonts w:ascii="Times New Roman" w:hAnsi="Times New Roman" w:cs="Times New Roman"/>
          <w:bCs/>
          <w:sz w:val="21"/>
          <w:szCs w:val="21"/>
        </w:rPr>
        <w:t xml:space="preserve">during ammonia treatment </w:t>
      </w:r>
      <w:r>
        <w:rPr>
          <w:rFonts w:ascii="Times New Roman" w:hAnsi="Times New Roman" w:cs="Times New Roman"/>
          <w:bCs/>
          <w:sz w:val="21"/>
          <w:szCs w:val="21"/>
        </w:rPr>
        <w:t xml:space="preserve">was </w:t>
      </w:r>
      <w:r>
        <w:rPr>
          <w:rFonts w:ascii="Times New Roman" w:hAnsi="Times New Roman" w:cs="Times New Roman"/>
          <w:bCs/>
          <w:sz w:val="21"/>
          <w:szCs w:val="21"/>
        </w:rPr>
        <w:t xml:space="preserve">observed</w:t>
      </w:r>
      <w:r>
        <w:rPr>
          <w:rFonts w:ascii="Times New Roman" w:hAnsi="Times New Roman" w:cs="Times New Roman"/>
          <w:bCs/>
          <w:sz w:val="21"/>
          <w:szCs w:val="21"/>
        </w:rPr>
        <w:t xml:space="preserve"> </w:t>
      </w:r>
      <w:r>
        <w:rPr>
          <w:rFonts w:ascii="Times New Roman" w:hAnsi="Times New Roman" w:cs="Times New Roman"/>
          <w:bCs/>
          <w:sz w:val="21"/>
          <w:szCs w:val="21"/>
        </w:rPr>
        <w:t xml:space="preserve">(</w:t>
      </w:r>
      <w:r>
        <w:rPr>
          <w:rFonts w:ascii="Times New Roman" w:hAnsi="Times New Roman" w:cs="Times New Roman"/>
          <w:bCs/>
          <w:color w:val="FF0000"/>
          <w:sz w:val="21"/>
          <w:szCs w:val="21"/>
        </w:rPr>
        <w:t xml:space="preserve">Fig. 1</w:t>
      </w:r>
      <w:r>
        <w:rPr>
          <w:rFonts w:ascii="Times New Roman" w:hAnsi="Times New Roman" w:cs="Times New Roman"/>
          <w:bCs/>
          <w:color w:val="FF0000"/>
          <w:sz w:val="21"/>
          <w:szCs w:val="21"/>
        </w:rPr>
        <w:t xml:space="preserve">c</w:t>
      </w:r>
      <w:r>
        <w:rPr>
          <w:rFonts w:ascii="Times New Roman" w:hAnsi="Times New Roman" w:cs="Times New Roman"/>
          <w:bCs/>
          <w:sz w:val="21"/>
          <w:szCs w:val="21"/>
        </w:rPr>
        <w:t xml:space="preserve">)</w:t>
      </w:r>
      <w:r>
        <w:rPr>
          <w:rFonts w:ascii="Times New Roman" w:hAnsi="Times New Roman" w:cs="Times New Roman"/>
          <w:bCs/>
          <w:sz w:val="21"/>
          <w:szCs w:val="21"/>
        </w:rPr>
        <w:t xml:space="preserve">. </w:t>
      </w:r>
      <w:r>
        <w:rPr>
          <w:rFonts w:ascii="Times New Roman" w:hAnsi="Times New Roman" w:cs="Times New Roman"/>
          <w:bCs/>
          <w:sz w:val="21"/>
          <w:szCs w:val="21"/>
        </w:rPr>
        <w:t xml:space="preserve">Depth-profiling X-ray photoelectron spectroscopy (XPS) w</w:t>
      </w:r>
      <w:r>
        <w:rPr>
          <w:rFonts w:ascii="Times New Roman" w:hAnsi="Times New Roman" w:cs="Times New Roman" w:hint="eastAsia"/>
          <w:bCs/>
          <w:sz w:val="21"/>
          <w:szCs w:val="21"/>
        </w:rPr>
        <w:t xml:space="preserve">as</w:t>
      </w:r>
      <w:r>
        <w:rPr>
          <w:rFonts w:ascii="Times New Roman" w:hAnsi="Times New Roman" w:cs="Times New Roman"/>
          <w:bCs/>
          <w:sz w:val="21"/>
          <w:szCs w:val="21"/>
        </w:rPr>
        <w:t xml:space="preserve"> performed to investigate the </w:t>
      </w:r>
      <w:r>
        <w:rPr>
          <w:rFonts w:ascii="Times New Roman" w:hAnsi="Times New Roman" w:cs="Times New Roman"/>
          <w:bCs/>
          <w:sz w:val="21"/>
          <w:szCs w:val="21"/>
        </w:rPr>
        <w:t xml:space="preserve">distribution of </w:t>
      </w:r>
      <w:r>
        <w:rPr>
          <w:rFonts w:ascii="Times New Roman" w:hAnsi="Times New Roman" w:cs="Times New Roman"/>
          <w:bCs/>
          <w:sz w:val="21"/>
          <w:szCs w:val="21"/>
        </w:rPr>
        <w:t xml:space="preserve">chemical species of </w:t>
      </w:r>
      <w:r>
        <w:rPr>
          <w:rFonts w:ascii="Times New Roman" w:hAnsi="Times New Roman" w:cs="Times New Roman"/>
          <w:sz w:val="21"/>
          <w:szCs w:val="21"/>
        </w:rPr>
        <w:t xml:space="preserve">Fe</w:t>
      </w:r>
      <w:r>
        <w:rPr>
          <w:rFonts w:ascii="Times New Roman" w:hAnsi="Times New Roman" w:cs="Times New Roman"/>
          <w:sz w:val="21"/>
          <w:szCs w:val="21"/>
          <w:vertAlign w:val="subscript"/>
        </w:rPr>
        <w:t xml:space="preserve">3</w:t>
      </w:r>
      <w:r>
        <w:rPr>
          <w:rFonts w:ascii="Times New Roman" w:hAnsi="Times New Roman" w:cs="Times New Roman"/>
          <w:sz w:val="21"/>
          <w:szCs w:val="21"/>
        </w:rPr>
        <w:t xml:space="preserve">O</w:t>
      </w:r>
      <w:r>
        <w:rPr>
          <w:rFonts w:ascii="Times New Roman" w:hAnsi="Times New Roman" w:cs="Times New Roman"/>
          <w:sz w:val="21"/>
          <w:szCs w:val="21"/>
          <w:vertAlign w:val="subscript"/>
        </w:rPr>
        <w:t xml:space="preserve">4</w:t>
      </w:r>
      <w:r>
        <w:rPr>
          <w:rFonts w:ascii="Times New Roman" w:hAnsi="Times New Roman" w:cs="Times New Roman"/>
          <w:sz w:val="21"/>
          <w:szCs w:val="21"/>
        </w:rPr>
        <w:t xml:space="preserve">/</w:t>
      </w:r>
      <w:r>
        <w:rPr>
          <w:rFonts w:ascii="Times New Roman" w:hAnsi="Times New Roman" w:cs="Times New Roman"/>
          <w:sz w:val="21"/>
          <w:szCs w:val="21"/>
        </w:rPr>
        <w:t xml:space="preserve">N-TiO</w:t>
      </w:r>
      <w:r>
        <w:rPr>
          <w:rFonts w:ascii="Times New Roman" w:hAnsi="Times New Roman" w:cs="Times New Roman"/>
          <w:sz w:val="21"/>
          <w:szCs w:val="21"/>
          <w:vertAlign w:val="subscript"/>
        </w:rPr>
        <w:t xml:space="preserve">2</w:t>
      </w:r>
      <w:r>
        <w:rPr>
          <w:rFonts w:ascii="Times New Roman" w:hAnsi="Times New Roman" w:cs="Times New Roman"/>
          <w:sz w:val="21"/>
          <w:szCs w:val="21"/>
        </w:rPr>
        <w:t xml:space="preserve">-</w:t>
      </w:r>
      <w:r>
        <w:rPr>
          <w:rFonts w:ascii="Times New Roman" w:hAnsi="Times New Roman" w:cs="Times New Roman"/>
          <w:sz w:val="21"/>
          <w:szCs w:val="21"/>
        </w:rPr>
        <w:t xml:space="preserve">2</w:t>
      </w:r>
      <w:r>
        <w:rPr>
          <w:rFonts w:ascii="Times New Roman" w:hAnsi="Times New Roman" w:cs="Times New Roman"/>
          <w:sz w:val="21"/>
          <w:szCs w:val="21"/>
        </w:rPr>
        <w:t xml:space="preserve">. The sample was etched by ion-beam for different time periods so as to obtain the chemical information from surface/subsurface to </w:t>
      </w:r>
      <w:r>
        <w:rPr>
          <w:rFonts w:ascii="Times New Roman" w:hAnsi="Times New Roman" w:cs="Times New Roman" w:hint="eastAsia"/>
          <w:sz w:val="21"/>
          <w:szCs w:val="21"/>
        </w:rPr>
        <w:t xml:space="preserve">inner </w:t>
      </w:r>
      <w:r>
        <w:rPr>
          <w:rFonts w:ascii="Times New Roman" w:hAnsi="Times New Roman" w:cs="Times New Roman"/>
          <w:sz w:val="21"/>
          <w:szCs w:val="21"/>
        </w:rPr>
        <w:t xml:space="preserve">region. Typical XPS survey spectrum shows peaks of N 1s, O 1s, </w:t>
      </w:r>
      <w:r>
        <w:rPr>
          <w:rFonts w:ascii="Times New Roman" w:hAnsi="Times New Roman" w:cs="Times New Roman"/>
          <w:sz w:val="21"/>
          <w:szCs w:val="21"/>
        </w:rPr>
        <w:t xml:space="preserve">Ti</w:t>
      </w:r>
      <w:r>
        <w:rPr>
          <w:rFonts w:ascii="Times New Roman" w:hAnsi="Times New Roman" w:cs="Times New Roman"/>
          <w:sz w:val="21"/>
          <w:szCs w:val="21"/>
        </w:rPr>
        <w:t xml:space="preserve"> 2p and Fe 2p, as shown in </w:t>
      </w:r>
      <w:r>
        <w:rPr>
          <w:rFonts w:ascii="Times New Roman" w:hAnsi="Times New Roman" w:cs="Times New Roman"/>
          <w:color w:val="FF0000"/>
          <w:sz w:val="21"/>
          <w:szCs w:val="21"/>
        </w:rPr>
        <w:t xml:space="preserve">Fig. 1e</w:t>
      </w:r>
      <w:r>
        <w:rPr>
          <w:rFonts w:ascii="Times New Roman" w:hAnsi="Times New Roman" w:cs="Times New Roman" w:hint="eastAsia"/>
          <w:color w:val="FF0000"/>
          <w:sz w:val="21"/>
          <w:szCs w:val="21"/>
        </w:rPr>
        <w:t xml:space="preserve"> </w:t>
      </w:r>
      <w:r>
        <w:rPr>
          <w:rFonts w:ascii="Times New Roman" w:hAnsi="Times New Roman" w:cs="Times New Roman"/>
          <w:sz w:val="21"/>
          <w:szCs w:val="21"/>
        </w:rPr>
        <w:t xml:space="preserve">and </w:t>
      </w:r>
      <w:r>
        <w:rPr>
          <w:rFonts w:ascii="Times New Roman" w:hAnsi="Times New Roman" w:cs="Times New Roman"/>
          <w:color w:val="FF0000"/>
          <w:sz w:val="21"/>
          <w:szCs w:val="21"/>
        </w:rPr>
        <w:t xml:space="preserve">Supplementary Fig. 5</w:t>
      </w:r>
      <w:r>
        <w:rPr>
          <w:rFonts w:ascii="Times New Roman" w:hAnsi="Times New Roman" w:cs="Times New Roman"/>
          <w:sz w:val="21"/>
          <w:szCs w:val="21"/>
        </w:rPr>
        <w:t xml:space="preserve">. Moreover, the Fe 2p peaks show an increasing trend when the sample is sputtered (</w:t>
      </w:r>
      <w:r>
        <w:rPr>
          <w:rFonts w:ascii="Times New Roman" w:hAnsi="Times New Roman" w:cs="Times New Roman"/>
          <w:color w:val="FF0000"/>
          <w:sz w:val="21"/>
          <w:szCs w:val="21"/>
        </w:rPr>
        <w:t xml:space="preserve">Fig. 1f</w:t>
      </w:r>
      <w:r>
        <w:rPr>
          <w:rFonts w:ascii="Times New Roman" w:hAnsi="Times New Roman" w:cs="Times New Roman" w:hint="eastAsia"/>
          <w:color w:val="FF0000"/>
          <w:sz w:val="21"/>
          <w:szCs w:val="21"/>
        </w:rPr>
        <w:t xml:space="preserve"> </w:t>
      </w:r>
      <w:r>
        <w:rPr>
          <w:rFonts w:ascii="Times New Roman" w:hAnsi="Times New Roman" w:cs="Times New Roman"/>
          <w:sz w:val="21"/>
          <w:szCs w:val="21"/>
        </w:rPr>
        <w:t xml:space="preserve">and</w:t>
      </w:r>
      <w:r>
        <w:rPr>
          <w:rFonts w:ascii="Times New Roman" w:hAnsi="Times New Roman" w:cs="Times New Roman"/>
          <w:color w:val="FF0000"/>
          <w:sz w:val="21"/>
          <w:szCs w:val="21"/>
        </w:rPr>
        <w:t xml:space="preserve"> Supplementary </w:t>
      </w:r>
      <w:r>
        <w:rPr>
          <w:rFonts w:ascii="Times New Roman" w:hAnsi="Times New Roman" w:cs="Times New Roman"/>
          <w:color w:val="FF0000"/>
          <w:sz w:val="21"/>
          <w:szCs w:val="21"/>
        </w:rPr>
        <w:t xml:space="preserve">Table 2</w:t>
      </w:r>
      <w:r>
        <w:rPr>
          <w:rFonts w:ascii="Times New Roman" w:hAnsi="Times New Roman" w:cs="Times New Roman"/>
          <w:sz w:val="21"/>
          <w:szCs w:val="21"/>
        </w:rPr>
        <w:t xml:space="preserve">), indicating the Fe</w:t>
      </w:r>
      <w:r>
        <w:rPr>
          <w:rFonts w:ascii="Times New Roman" w:hAnsi="Times New Roman" w:cs="Times New Roman"/>
          <w:sz w:val="21"/>
          <w:szCs w:val="21"/>
          <w:vertAlign w:val="subscript"/>
        </w:rPr>
        <w:t xml:space="preserve">3</w:t>
      </w:r>
      <w:r>
        <w:rPr>
          <w:rFonts w:ascii="Times New Roman" w:hAnsi="Times New Roman" w:cs="Times New Roman"/>
          <w:sz w:val="21"/>
          <w:szCs w:val="21"/>
        </w:rPr>
        <w:t xml:space="preserve">O</w:t>
      </w:r>
      <w:r>
        <w:rPr>
          <w:rFonts w:ascii="Times New Roman" w:hAnsi="Times New Roman" w:cs="Times New Roman"/>
          <w:sz w:val="21"/>
          <w:szCs w:val="21"/>
          <w:vertAlign w:val="subscript"/>
        </w:rPr>
        <w:t xml:space="preserve">4</w:t>
      </w:r>
      <w:r>
        <w:rPr>
          <w:rFonts w:ascii="Times New Roman" w:hAnsi="Times New Roman" w:cs="Times New Roman"/>
          <w:sz w:val="21"/>
          <w:szCs w:val="21"/>
        </w:rPr>
        <w:t xml:space="preserve"> NPs are mostly encapsulated in the N-doped TiO</w:t>
      </w:r>
      <w:r>
        <w:rPr>
          <w:rFonts w:ascii="Times New Roman" w:hAnsi="Times New Roman" w:cs="Times New Roman"/>
          <w:sz w:val="21"/>
          <w:szCs w:val="21"/>
          <w:vertAlign w:val="subscript"/>
        </w:rPr>
        <w:t xml:space="preserve">2</w:t>
      </w:r>
      <w:r>
        <w:rPr>
          <w:rFonts w:ascii="Times New Roman" w:hAnsi="Times New Roman" w:cs="Times New Roman"/>
          <w:sz w:val="21"/>
          <w:szCs w:val="21"/>
        </w:rPr>
        <w:t xml:space="preserve">.</w:t>
      </w:r>
      <w:r>
        <w:rPr>
          <w:rFonts w:ascii="Times New Roman" w:hAnsi="Times New Roman" w:cs="Times New Roman" w:hint="eastAsia"/>
          <w:sz w:val="21"/>
          <w:szCs w:val="21"/>
        </w:rPr>
        <w:t xml:space="preserve"> </w:t>
      </w:r>
      <w:r>
        <w:rPr>
          <w:rFonts w:ascii="Times New Roman" w:hAnsi="Times New Roman" w:cs="Times New Roman" w:hint="eastAsia"/>
          <w:sz w:val="21"/>
          <w:szCs w:val="21"/>
        </w:rPr>
        <w:t xml:space="preserve">M</w:t>
      </w:r>
      <w:r>
        <w:rPr>
          <w:rFonts w:ascii="Times New Roman" w:hAnsi="Times New Roman" w:cs="Times New Roman"/>
          <w:sz w:val="21"/>
          <w:szCs w:val="21"/>
        </w:rPr>
        <w:t xml:space="preserve">ore details about the oxide encapsulated Fe</w:t>
      </w:r>
      <w:r>
        <w:rPr>
          <w:rFonts w:ascii="Times New Roman" w:hAnsi="Times New Roman" w:cs="Times New Roman"/>
          <w:sz w:val="21"/>
          <w:szCs w:val="21"/>
          <w:vertAlign w:val="subscript"/>
        </w:rPr>
        <w:t xml:space="preserve">3</w:t>
      </w:r>
      <w:r>
        <w:rPr>
          <w:rFonts w:ascii="Times New Roman" w:hAnsi="Times New Roman" w:cs="Times New Roman"/>
          <w:sz w:val="21"/>
          <w:szCs w:val="21"/>
        </w:rPr>
        <w:t xml:space="preserve">O</w:t>
      </w:r>
      <w:r>
        <w:rPr>
          <w:rFonts w:ascii="Times New Roman" w:hAnsi="Times New Roman" w:cs="Times New Roman"/>
          <w:sz w:val="21"/>
          <w:szCs w:val="21"/>
          <w:vertAlign w:val="subscript"/>
        </w:rPr>
        <w:t xml:space="preserve">4</w:t>
      </w:r>
      <w:r>
        <w:rPr>
          <w:rFonts w:ascii="Times New Roman" w:hAnsi="Times New Roman" w:cs="Times New Roman"/>
          <w:sz w:val="21"/>
          <w:szCs w:val="21"/>
        </w:rPr>
        <w:t xml:space="preserve"> NPs are available in</w:t>
      </w:r>
      <w:r>
        <w:rPr>
          <w:rFonts w:ascii="Times New Roman" w:hAnsi="Times New Roman" w:cs="Times New Roman"/>
          <w:color w:val="FF0000"/>
          <w:sz w:val="21"/>
          <w:szCs w:val="21"/>
        </w:rPr>
        <w:t xml:space="preserve"> Supplementary Note 2</w:t>
      </w:r>
      <w:r>
        <w:rPr>
          <w:rFonts w:ascii="Times New Roman" w:hAnsi="Times New Roman" w:cs="Times New Roman"/>
          <w:sz w:val="21"/>
          <w:szCs w:val="21"/>
        </w:rPr>
        <w:t xml:space="preserve">.</w:t>
      </w:r>
      <w:r/>
    </w:p>
    <w:p>
      <w:pPr>
        <w:jc w:val="both"/>
        <w:spacing w:lineRule="exact" w:line="400" w:after="156"/>
        <w:rPr>
          <w:rFonts w:ascii="Times New Roman" w:hAnsi="Times New Roman" w:cs="Times New Roman"/>
          <w:sz w:val="18"/>
          <w:szCs w:val="18"/>
        </w:rPr>
      </w:pPr>
      <w:r>
        <w:rPr>
          <w:rFonts w:ascii="Times New Roman" w:hAnsi="Times New Roman" w:cs="Times New Roman"/>
          <w:bCs/>
          <w:sz w:val="21"/>
          <w:szCs w:val="21"/>
          <w:lang w:eastAsia="en-GB"/>
        </w:rPr>
        <mc:AlternateContent>
          <mc:Choice Requires="wpg">
            <w:drawing>
              <wp:anchor xmlns:wp="http://schemas.openxmlformats.org/drawingml/2006/wordprocessingDrawing" distT="0" distB="0" distL="114300" distR="114300" simplePos="0" relativeHeight="251663872" behindDoc="0" locked="0" layoutInCell="1" allowOverlap="1">
                <wp:simplePos x="0" y="0"/>
                <wp:positionH relativeFrom="column">
                  <wp:posOffset>289560</wp:posOffset>
                </wp:positionH>
                <wp:positionV relativeFrom="paragraph">
                  <wp:posOffset>199681</wp:posOffset>
                </wp:positionV>
                <wp:extent cx="5220000" cy="4688213"/>
                <wp:effectExtent l="0" t="0" r="0" b="0"/>
                <wp:wrapThrough wrapText="bothSides">
                  <wp:wrapPolygon edited="1">
                    <wp:start x="0" y="0"/>
                    <wp:lineTo x="0" y="21533"/>
                    <wp:lineTo x="21547" y="21533"/>
                    <wp:lineTo x="21547" y="0"/>
                    <wp:lineTo x="0" y="0"/>
                  </wp:wrapPolygon>
                </wp:wrapThrough>
                <wp:docPr id="1" name="图片 5" descr="图示&#10;&#10;描述已自动生成"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示&#10;&#10;描述已自动生成" hidden="0"/>
                        <pic:cNvPicPr>
                          <a:picLocks noChangeAspect="1"/>
                        </pic:cNvPicPr>
                        <pic:nvPr isPhoto="0" userDrawn="0"/>
                      </pic:nvPicPr>
                      <pic:blipFill>
                        <a:blip r:embed="rId12"/>
                        <a:stretch/>
                      </pic:blipFill>
                      <pic:spPr bwMode="auto">
                        <a:xfrm>
                          <a:off x="0" y="0"/>
                          <a:ext cx="5220000" cy="4688213"/>
                        </a:xfrm>
                        <a:prstGeom prst="rect">
                          <a:avLst/>
                        </a:prstGeom>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663872;o:allowoverlap:true;o:allowincell:true;mso-position-horizontal-relative:text;margin-left:22.8pt;mso-position-horizontal:absolute;mso-position-vertical-relative:text;margin-top:15.7pt;mso-position-vertical:absolute;width:411.0pt;height:369.2pt;" wrapcoords="0 0 0 99690 99755 99690 99755 0 0 0" stroked="false">
                <v:path textboxrect="0,0,0,0"/>
                <v:imagedata r:id="rId12" o:title=""/>
              </v:shape>
            </w:pict>
          </mc:Fallback>
        </mc:AlternateContent>
      </w:r>
      <w:r>
        <w:rPr>
          <w:rFonts w:ascii="Times New Roman" w:hAnsi="Times New Roman" w:cs="Times New Roman"/>
          <w:b/>
          <w:sz w:val="18"/>
          <w:szCs w:val="18"/>
        </w:rPr>
        <w:t xml:space="preserve">Fig</w:t>
      </w:r>
      <w:r>
        <w:rPr>
          <w:rFonts w:ascii="Times New Roman" w:hAnsi="Times New Roman" w:cs="Times New Roman"/>
          <w:b/>
          <w:sz w:val="18"/>
          <w:szCs w:val="18"/>
        </w:rPr>
        <w:t xml:space="preserve">ure</w:t>
      </w:r>
      <w:r>
        <w:rPr>
          <w:rFonts w:ascii="Times New Roman" w:hAnsi="Times New Roman" w:cs="Times New Roman"/>
          <w:b/>
          <w:sz w:val="18"/>
          <w:szCs w:val="18"/>
        </w:rPr>
        <w:t xml:space="preserve"> 1 </w:t>
      </w:r>
      <w:r>
        <w:rPr>
          <w:rFonts w:ascii="Times New Roman" w:hAnsi="Times New Roman" w:cs="Times New Roman" w:hint="eastAsia"/>
          <w:b/>
          <w:sz w:val="18"/>
          <w:szCs w:val="18"/>
        </w:rPr>
        <w:t xml:space="preserve">a </w:t>
      </w:r>
      <w:r>
        <w:rPr>
          <w:rFonts w:ascii="Times New Roman" w:hAnsi="Times New Roman" w:cs="Times New Roman"/>
          <w:bCs/>
          <w:sz w:val="18"/>
          <w:szCs w:val="18"/>
        </w:rPr>
        <w:t xml:space="preserve">Simplified s</w:t>
      </w:r>
      <w:r>
        <w:rPr>
          <w:rFonts w:ascii="Times New Roman" w:hAnsi="Times New Roman" w:cs="Times New Roman"/>
          <w:bCs/>
          <w:sz w:val="18"/>
          <w:szCs w:val="18"/>
        </w:rPr>
        <w:t xml:space="preserve">chematic illustration of the synthesis procedure of Fe</w:t>
      </w:r>
      <w:r>
        <w:rPr>
          <w:rFonts w:ascii="Times New Roman" w:hAnsi="Times New Roman" w:cs="Times New Roman"/>
          <w:bCs/>
          <w:sz w:val="18"/>
          <w:szCs w:val="18"/>
          <w:vertAlign w:val="subscript"/>
        </w:rPr>
        <w:t xml:space="preserve">3</w:t>
      </w:r>
      <w:r>
        <w:rPr>
          <w:rFonts w:ascii="Times New Roman" w:hAnsi="Times New Roman" w:cs="Times New Roman"/>
          <w:bCs/>
          <w:sz w:val="18"/>
          <w:szCs w:val="18"/>
        </w:rPr>
        <w:t xml:space="preserve">O</w:t>
      </w:r>
      <w:r>
        <w:rPr>
          <w:rFonts w:ascii="Times New Roman" w:hAnsi="Times New Roman" w:cs="Times New Roman"/>
          <w:bCs/>
          <w:sz w:val="18"/>
          <w:szCs w:val="18"/>
          <w:vertAlign w:val="subscript"/>
        </w:rPr>
        <w:t xml:space="preserve">4</w:t>
      </w:r>
      <w:r>
        <w:rPr>
          <w:rFonts w:ascii="Times New Roman" w:hAnsi="Times New Roman" w:cs="Times New Roman"/>
          <w:bCs/>
          <w:sz w:val="18"/>
          <w:szCs w:val="18"/>
        </w:rPr>
        <w:t xml:space="preserve"> NPs and </w:t>
      </w:r>
      <w:r>
        <w:rPr>
          <w:rFonts w:ascii="Times New Roman" w:hAnsi="Times New Roman" w:cs="Times New Roman"/>
          <w:bCs/>
          <w:sz w:val="18"/>
          <w:szCs w:val="18"/>
        </w:rPr>
        <w:t xml:space="preserve">the encapsulated </w:t>
      </w:r>
      <w:r>
        <w:rPr>
          <w:rFonts w:ascii="Times New Roman" w:hAnsi="Times New Roman" w:cs="Times New Roman"/>
          <w:bCs/>
          <w:sz w:val="18"/>
          <w:szCs w:val="18"/>
        </w:rPr>
        <w:t xml:space="preserve">Fe</w:t>
      </w:r>
      <w:r>
        <w:rPr>
          <w:rFonts w:ascii="Times New Roman" w:hAnsi="Times New Roman" w:cs="Times New Roman"/>
          <w:bCs/>
          <w:sz w:val="18"/>
          <w:szCs w:val="18"/>
          <w:vertAlign w:val="subscript"/>
        </w:rPr>
        <w:t xml:space="preserve">3</w:t>
      </w:r>
      <w:r>
        <w:rPr>
          <w:rFonts w:ascii="Times New Roman" w:hAnsi="Times New Roman" w:cs="Times New Roman"/>
          <w:bCs/>
          <w:sz w:val="18"/>
          <w:szCs w:val="18"/>
        </w:rPr>
        <w:t xml:space="preserve">O</w:t>
      </w:r>
      <w:r>
        <w:rPr>
          <w:rFonts w:ascii="Times New Roman" w:hAnsi="Times New Roman" w:cs="Times New Roman"/>
          <w:bCs/>
          <w:sz w:val="18"/>
          <w:szCs w:val="18"/>
          <w:vertAlign w:val="subscript"/>
        </w:rPr>
        <w:t xml:space="preserve">4</w:t>
      </w:r>
      <w:r>
        <w:rPr>
          <w:rFonts w:ascii="Times New Roman" w:hAnsi="Times New Roman" w:cs="Times New Roman"/>
          <w:bCs/>
          <w:sz w:val="18"/>
          <w:szCs w:val="18"/>
        </w:rPr>
        <w:t xml:space="preserve"> photocatalysts. Detailed synthesis procedure is given in the Supplementary Information</w:t>
      </w:r>
      <w:r>
        <w:rPr>
          <w:rFonts w:ascii="Times New Roman" w:hAnsi="Times New Roman" w:cs="Times New Roman"/>
          <w:bCs/>
          <w:sz w:val="18"/>
          <w:szCs w:val="18"/>
        </w:rPr>
        <w:t xml:space="preserve">;</w:t>
      </w:r>
      <w:r>
        <w:rPr>
          <w:rFonts w:ascii="Times New Roman" w:hAnsi="Times New Roman" w:cs="Times New Roman"/>
          <w:sz w:val="18"/>
          <w:szCs w:val="18"/>
        </w:rPr>
        <w:t xml:space="preserve"> </w:t>
      </w:r>
      <w:r>
        <w:rPr>
          <w:rFonts w:ascii="Times New Roman" w:hAnsi="Times New Roman" w:cs="Times New Roman"/>
          <w:b/>
          <w:sz w:val="18"/>
          <w:szCs w:val="18"/>
        </w:rPr>
        <w:t xml:space="preserve">b</w:t>
      </w:r>
      <w:r>
        <w:rPr>
          <w:rFonts w:ascii="Times New Roman" w:hAnsi="Times New Roman" w:cs="Times New Roman" w:hint="eastAsia"/>
          <w:bCs/>
          <w:sz w:val="18"/>
          <w:szCs w:val="18"/>
        </w:rPr>
        <w:t xml:space="preserve"> </w:t>
      </w:r>
      <w:r>
        <w:rPr>
          <w:rFonts w:ascii="Times New Roman" w:hAnsi="Times New Roman" w:cs="Times New Roman"/>
          <w:sz w:val="18"/>
          <w:szCs w:val="18"/>
        </w:rPr>
        <w:t xml:space="preserve">TEM images of</w:t>
      </w:r>
      <w:r>
        <w:rPr>
          <w:rFonts w:ascii="Times New Roman" w:hAnsi="Times New Roman" w:cs="Times New Roman" w:hint="eastAsia"/>
          <w:b/>
          <w:sz w:val="18"/>
          <w:szCs w:val="18"/>
        </w:rPr>
        <w:t xml:space="preserve"> </w:t>
      </w:r>
      <w:r>
        <w:rPr>
          <w:rFonts w:ascii="Times New Roman" w:hAnsi="Times New Roman" w:cs="Times New Roman"/>
          <w:bCs/>
          <w:sz w:val="18"/>
          <w:szCs w:val="18"/>
        </w:rPr>
        <w:t xml:space="preserve">Fe</w:t>
      </w:r>
      <w:r>
        <w:rPr>
          <w:rFonts w:ascii="Times New Roman" w:hAnsi="Times New Roman" w:cs="Times New Roman"/>
          <w:bCs/>
          <w:sz w:val="18"/>
          <w:szCs w:val="18"/>
          <w:vertAlign w:val="subscript"/>
        </w:rPr>
        <w:t xml:space="preserve">3</w:t>
      </w:r>
      <w:r>
        <w:rPr>
          <w:rFonts w:ascii="Times New Roman" w:hAnsi="Times New Roman" w:cs="Times New Roman"/>
          <w:bCs/>
          <w:sz w:val="18"/>
          <w:szCs w:val="18"/>
        </w:rPr>
        <w:t xml:space="preserve">O</w:t>
      </w:r>
      <w:r>
        <w:rPr>
          <w:rFonts w:ascii="Times New Roman" w:hAnsi="Times New Roman" w:cs="Times New Roman"/>
          <w:bCs/>
          <w:sz w:val="18"/>
          <w:szCs w:val="18"/>
          <w:vertAlign w:val="subscript"/>
        </w:rPr>
        <w:t xml:space="preserve">4</w:t>
      </w:r>
      <w:r>
        <w:rPr>
          <w:rFonts w:ascii="Times New Roman" w:hAnsi="Times New Roman" w:cs="Times New Roman"/>
          <w:bCs/>
          <w:sz w:val="18"/>
          <w:szCs w:val="18"/>
        </w:rPr>
        <w:t xml:space="preserve"> NPs (8 nm); </w:t>
      </w:r>
      <w:r>
        <w:rPr>
          <w:rFonts w:ascii="Times New Roman" w:hAnsi="Times New Roman" w:cs="Times New Roman"/>
          <w:b/>
          <w:sz w:val="18"/>
          <w:szCs w:val="18"/>
        </w:rPr>
        <w:t xml:space="preserve">c</w:t>
      </w:r>
      <w:r>
        <w:rPr>
          <w:rFonts w:ascii="Times New Roman" w:hAnsi="Times New Roman" w:cs="Times New Roman" w:hint="eastAsia"/>
          <w:b/>
          <w:sz w:val="18"/>
          <w:szCs w:val="18"/>
        </w:rPr>
        <w:t xml:space="preserve"> </w:t>
      </w:r>
      <w:r>
        <w:rPr>
          <w:rFonts w:ascii="Times New Roman" w:hAnsi="Times New Roman" w:cs="Times New Roman"/>
          <w:sz w:val="18"/>
          <w:szCs w:val="18"/>
        </w:rPr>
        <w:t xml:space="preserve">XRD patterns of</w:t>
      </w:r>
      <w:r>
        <w:rPr>
          <w:rFonts w:ascii="Times New Roman" w:hAnsi="Times New Roman" w:cs="Times New Roman" w:hint="eastAsia"/>
          <w:sz w:val="18"/>
          <w:szCs w:val="18"/>
        </w:rPr>
        <w:t xml:space="preserve"> </w:t>
      </w:r>
      <w:r>
        <w:rPr>
          <w:rFonts w:ascii="Times New Roman" w:hAnsi="Times New Roman" w:cs="Times New Roman"/>
          <w:sz w:val="18"/>
          <w:szCs w:val="18"/>
        </w:rPr>
        <w:t xml:space="preserve">Fe</w:t>
      </w:r>
      <w:r>
        <w:rPr>
          <w:rFonts w:ascii="Times New Roman" w:hAnsi="Times New Roman" w:cs="Times New Roman"/>
          <w:sz w:val="18"/>
          <w:szCs w:val="18"/>
          <w:vertAlign w:val="subscript"/>
        </w:rPr>
        <w:t xml:space="preserve">3</w:t>
      </w:r>
      <w:r>
        <w:rPr>
          <w:rFonts w:ascii="Times New Roman" w:hAnsi="Times New Roman" w:cs="Times New Roman"/>
          <w:sz w:val="18"/>
          <w:szCs w:val="18"/>
        </w:rPr>
        <w:t xml:space="preserve">O</w:t>
      </w:r>
      <w:r>
        <w:rPr>
          <w:rFonts w:ascii="Times New Roman" w:hAnsi="Times New Roman" w:cs="Times New Roman"/>
          <w:sz w:val="18"/>
          <w:szCs w:val="18"/>
          <w:vertAlign w:val="subscript"/>
        </w:rPr>
        <w:t xml:space="preserve">4</w:t>
      </w:r>
      <w:r>
        <w:rPr>
          <w:rFonts w:ascii="Times New Roman" w:hAnsi="Times New Roman" w:cs="Times New Roman"/>
          <w:sz w:val="18"/>
          <w:szCs w:val="18"/>
        </w:rPr>
        <w:t xml:space="preserve"> NPs, Fe</w:t>
      </w:r>
      <w:r>
        <w:rPr>
          <w:rFonts w:ascii="Times New Roman" w:hAnsi="Times New Roman" w:cs="Times New Roman"/>
          <w:sz w:val="18"/>
          <w:szCs w:val="18"/>
          <w:vertAlign w:val="subscript"/>
        </w:rPr>
        <w:t xml:space="preserve">3</w:t>
      </w:r>
      <w:r>
        <w:rPr>
          <w:rFonts w:ascii="Times New Roman" w:hAnsi="Times New Roman" w:cs="Times New Roman"/>
          <w:sz w:val="18"/>
          <w:szCs w:val="18"/>
        </w:rPr>
        <w:t xml:space="preserve">O</w:t>
      </w:r>
      <w:r>
        <w:rPr>
          <w:rFonts w:ascii="Times New Roman" w:hAnsi="Times New Roman" w:cs="Times New Roman"/>
          <w:sz w:val="18"/>
          <w:szCs w:val="18"/>
          <w:vertAlign w:val="subscript"/>
        </w:rPr>
        <w:t xml:space="preserve">4</w:t>
      </w:r>
      <w:r>
        <w:rPr>
          <w:rFonts w:ascii="Times New Roman" w:hAnsi="Times New Roman" w:cs="Times New Roman"/>
          <w:sz w:val="18"/>
          <w:szCs w:val="18"/>
        </w:rPr>
        <w:t xml:space="preserve">/N-TiO</w:t>
      </w:r>
      <w:r>
        <w:rPr>
          <w:rFonts w:ascii="Times New Roman" w:hAnsi="Times New Roman" w:cs="Times New Roman"/>
          <w:sz w:val="18"/>
          <w:szCs w:val="18"/>
          <w:vertAlign w:val="subscript"/>
        </w:rPr>
        <w:t xml:space="preserve">2</w:t>
      </w:r>
      <w:r>
        <w:rPr>
          <w:rFonts w:ascii="Times New Roman" w:hAnsi="Times New Roman" w:cs="Times New Roman"/>
          <w:sz w:val="18"/>
          <w:szCs w:val="18"/>
        </w:rPr>
        <w:t xml:space="preserve">-2 and N-TiO</w:t>
      </w:r>
      <w:r>
        <w:rPr>
          <w:rFonts w:ascii="Times New Roman" w:hAnsi="Times New Roman" w:cs="Times New Roman"/>
          <w:sz w:val="18"/>
          <w:szCs w:val="18"/>
          <w:vertAlign w:val="subscript"/>
        </w:rPr>
        <w:t xml:space="preserve">2</w:t>
      </w:r>
      <w:r>
        <w:rPr>
          <w:rFonts w:ascii="Times New Roman" w:hAnsi="Times New Roman" w:cs="Times New Roman"/>
          <w:sz w:val="18"/>
          <w:szCs w:val="18"/>
        </w:rPr>
        <w:t xml:space="preserve">. XRD measurements were performed on a Bruker D8 Advance diffractometer and Cu Kα1 radiation (λ= 1.5406 Å). Samples were scanned at 2</w:t>
      </w:r>
      <m:oMath>
        <m:r>
          <w:rPr>
            <w:rFonts w:ascii="Cambria Math" w:hAnsi="Cambria Math" w:cs="Times New Roman"/>
            <w:sz w:val="18"/>
            <w:szCs w:val="18"/>
          </w:rPr>
          <m:rPr/>
          <m:t>θ</m:t>
        </m:r>
      </m:oMath>
      <w:r>
        <w:rPr>
          <w:rFonts w:ascii="Times New Roman" w:hAnsi="Times New Roman" w:cs="Times New Roman"/>
          <w:sz w:val="18"/>
          <w:szCs w:val="18"/>
        </w:rPr>
        <w:t xml:space="preserve"> angles of 5-90</w:t>
      </w:r>
      <w:r>
        <w:rPr>
          <w:rFonts w:ascii="Times New Roman" w:hAnsi="Times New Roman" w:cs="Times New Roman"/>
          <w:sz w:val="18"/>
          <w:szCs w:val="18"/>
          <w:vertAlign w:val="superscript"/>
        </w:rPr>
        <w:t xml:space="preserve">o</w:t>
      </w:r>
      <w:r>
        <w:rPr>
          <w:rFonts w:ascii="Times New Roman" w:hAnsi="Times New Roman" w:cs="Times New Roman"/>
          <w:sz w:val="18"/>
          <w:szCs w:val="18"/>
        </w:rPr>
        <w:t xml:space="preserve">;</w:t>
      </w:r>
      <w:r>
        <w:rPr>
          <w:rFonts w:ascii="Times New Roman" w:hAnsi="Times New Roman" w:cs="Times New Roman"/>
          <w:b/>
          <w:sz w:val="18"/>
          <w:szCs w:val="18"/>
        </w:rPr>
        <w:t xml:space="preserve"> d</w:t>
      </w:r>
      <w:r>
        <w:rPr>
          <w:rFonts w:ascii="Times New Roman" w:hAnsi="Times New Roman" w:cs="Times New Roman" w:hint="eastAsia"/>
          <w:b/>
          <w:sz w:val="18"/>
          <w:szCs w:val="18"/>
        </w:rPr>
        <w:t xml:space="preserve"> </w:t>
      </w:r>
      <w:r>
        <w:rPr>
          <w:rFonts w:ascii="Times New Roman" w:hAnsi="Times New Roman" w:cs="Times New Roman"/>
          <w:sz w:val="18"/>
          <w:szCs w:val="18"/>
        </w:rPr>
        <w:t xml:space="preserve">HR-TEM of</w:t>
      </w:r>
      <w:r>
        <w:rPr>
          <w:rFonts w:ascii="Times New Roman" w:hAnsi="Times New Roman" w:cs="Times New Roman"/>
          <w:b/>
          <w:sz w:val="18"/>
          <w:szCs w:val="18"/>
        </w:rPr>
        <w:t xml:space="preserve"> </w:t>
      </w:r>
      <w:r>
        <w:rPr>
          <w:rFonts w:ascii="Times New Roman" w:hAnsi="Times New Roman" w:cs="Times New Roman"/>
          <w:bCs/>
          <w:sz w:val="18"/>
          <w:szCs w:val="18"/>
        </w:rPr>
        <w:t xml:space="preserve">Fe</w:t>
      </w:r>
      <w:r>
        <w:rPr>
          <w:rFonts w:ascii="Times New Roman" w:hAnsi="Times New Roman" w:cs="Times New Roman"/>
          <w:bCs/>
          <w:sz w:val="18"/>
          <w:szCs w:val="18"/>
          <w:vertAlign w:val="subscript"/>
        </w:rPr>
        <w:t xml:space="preserve">3</w:t>
      </w:r>
      <w:r>
        <w:rPr>
          <w:rFonts w:ascii="Times New Roman" w:hAnsi="Times New Roman" w:cs="Times New Roman"/>
          <w:bCs/>
          <w:sz w:val="18"/>
          <w:szCs w:val="18"/>
        </w:rPr>
        <w:t xml:space="preserve">O</w:t>
      </w:r>
      <w:r>
        <w:rPr>
          <w:rFonts w:ascii="Times New Roman" w:hAnsi="Times New Roman" w:cs="Times New Roman"/>
          <w:bCs/>
          <w:sz w:val="18"/>
          <w:szCs w:val="18"/>
          <w:vertAlign w:val="subscript"/>
        </w:rPr>
        <w:t xml:space="preserve">4</w:t>
      </w:r>
      <w:r>
        <w:rPr>
          <w:rFonts w:ascii="Times New Roman" w:hAnsi="Times New Roman" w:cs="Times New Roman"/>
          <w:bCs/>
          <w:sz w:val="18"/>
          <w:szCs w:val="18"/>
        </w:rPr>
        <w:t xml:space="preserve">/N-T</w:t>
      </w:r>
      <w:r>
        <w:rPr>
          <w:rFonts w:ascii="Times New Roman" w:hAnsi="Times New Roman" w:cs="Times New Roman"/>
          <w:bCs/>
          <w:sz w:val="18"/>
          <w:szCs w:val="18"/>
        </w:rPr>
        <w:t xml:space="preserve">iO</w:t>
      </w:r>
      <w:r>
        <w:rPr>
          <w:rFonts w:ascii="Times New Roman" w:hAnsi="Times New Roman" w:cs="Times New Roman"/>
          <w:bCs/>
          <w:sz w:val="18"/>
          <w:szCs w:val="18"/>
          <w:vertAlign w:val="subscript"/>
        </w:rPr>
        <w:t xml:space="preserve">2</w:t>
      </w:r>
      <w:r>
        <w:rPr>
          <w:rFonts w:ascii="Times New Roman" w:hAnsi="Times New Roman" w:cs="Times New Roman"/>
          <w:bCs/>
          <w:sz w:val="18"/>
          <w:szCs w:val="18"/>
        </w:rPr>
        <w:t xml:space="preserve">-2 photocatalyst</w:t>
      </w:r>
      <w:r>
        <w:rPr>
          <w:rFonts w:ascii="Times New Roman" w:hAnsi="Times New Roman" w:cs="Times New Roman"/>
          <w:bCs/>
          <w:sz w:val="18"/>
          <w:szCs w:val="18"/>
        </w:rPr>
        <w:t xml:space="preserve">. Red circles indicate the 8 nm Fe</w:t>
      </w:r>
      <w:r>
        <w:rPr>
          <w:rFonts w:ascii="Times New Roman" w:hAnsi="Times New Roman" w:cs="Times New Roman"/>
          <w:bCs/>
          <w:sz w:val="18"/>
          <w:szCs w:val="18"/>
          <w:vertAlign w:val="subscript"/>
        </w:rPr>
        <w:t xml:space="preserve">3</w:t>
      </w:r>
      <w:r>
        <w:rPr>
          <w:rFonts w:ascii="Times New Roman" w:hAnsi="Times New Roman" w:cs="Times New Roman"/>
          <w:bCs/>
          <w:sz w:val="18"/>
          <w:szCs w:val="18"/>
        </w:rPr>
        <w:t xml:space="preserve">O</w:t>
      </w:r>
      <w:r>
        <w:rPr>
          <w:rFonts w:ascii="Times New Roman" w:hAnsi="Times New Roman" w:cs="Times New Roman"/>
          <w:bCs/>
          <w:sz w:val="18"/>
          <w:szCs w:val="18"/>
          <w:vertAlign w:val="subscript"/>
        </w:rPr>
        <w:t xml:space="preserve">4</w:t>
      </w:r>
      <w:r>
        <w:rPr>
          <w:rFonts w:ascii="Times New Roman" w:hAnsi="Times New Roman" w:cs="Times New Roman"/>
          <w:bCs/>
          <w:sz w:val="18"/>
          <w:szCs w:val="18"/>
        </w:rPr>
        <w:t xml:space="preserve"> NPs and yellow circle indicate</w:t>
      </w:r>
      <w:r>
        <w:rPr>
          <w:rFonts w:ascii="Times New Roman" w:hAnsi="Times New Roman" w:cs="Times New Roman"/>
          <w:bCs/>
          <w:sz w:val="18"/>
          <w:szCs w:val="18"/>
        </w:rPr>
        <w:t xml:space="preserve">s</w:t>
      </w:r>
      <w:r>
        <w:rPr>
          <w:rFonts w:ascii="Times New Roman" w:hAnsi="Times New Roman" w:cs="Times New Roman"/>
          <w:bCs/>
          <w:sz w:val="18"/>
          <w:szCs w:val="18"/>
        </w:rPr>
        <w:t xml:space="preserve"> the region of N-TiO</w:t>
      </w:r>
      <w:r>
        <w:rPr>
          <w:rFonts w:ascii="Times New Roman" w:hAnsi="Times New Roman" w:cs="Times New Roman"/>
          <w:bCs/>
          <w:sz w:val="18"/>
          <w:szCs w:val="18"/>
          <w:vertAlign w:val="subscript"/>
        </w:rPr>
        <w:t xml:space="preserve">2</w:t>
      </w:r>
      <w:r>
        <w:rPr>
          <w:rFonts w:ascii="Times New Roman" w:hAnsi="Times New Roman" w:cs="Times New Roman"/>
          <w:bCs/>
          <w:sz w:val="18"/>
          <w:szCs w:val="18"/>
        </w:rPr>
        <w:t xml:space="preserve"> with d-spacings shown in the image</w:t>
      </w:r>
      <w:r>
        <w:rPr>
          <w:rFonts w:ascii="Times New Roman" w:hAnsi="Times New Roman" w:cs="Times New Roman"/>
          <w:bCs/>
          <w:sz w:val="18"/>
          <w:szCs w:val="18"/>
        </w:rPr>
        <w:t xml:space="preserve">. Details can be found in </w:t>
      </w:r>
      <w:r>
        <w:rPr>
          <w:rFonts w:ascii="Times New Roman" w:hAnsi="Times New Roman" w:cs="Times New Roman"/>
          <w:bCs/>
          <w:color w:val="FF0000"/>
          <w:sz w:val="18"/>
          <w:szCs w:val="18"/>
        </w:rPr>
        <w:t xml:space="preserve">Supplementary Fig. 1</w:t>
      </w:r>
      <w:r>
        <w:rPr>
          <w:rFonts w:ascii="Times New Roman" w:hAnsi="Times New Roman" w:cs="Times New Roman"/>
          <w:bCs/>
          <w:color w:val="FF0000"/>
          <w:sz w:val="18"/>
          <w:szCs w:val="18"/>
        </w:rPr>
        <w:t xml:space="preserve"> </w:t>
      </w:r>
      <w:r>
        <w:rPr>
          <w:rFonts w:ascii="Times New Roman" w:hAnsi="Times New Roman" w:cs="Times New Roman"/>
          <w:bCs/>
          <w:sz w:val="18"/>
          <w:szCs w:val="18"/>
        </w:rPr>
        <w:t xml:space="preserve">and </w:t>
      </w:r>
      <w:r>
        <w:rPr>
          <w:rFonts w:ascii="Times New Roman" w:hAnsi="Times New Roman" w:cs="Times New Roman"/>
          <w:bCs/>
          <w:color w:val="FF0000"/>
          <w:sz w:val="18"/>
          <w:szCs w:val="18"/>
        </w:rPr>
        <w:t xml:space="preserve">Supplementary Fig. 4</w:t>
      </w:r>
      <w:r>
        <w:rPr>
          <w:rFonts w:ascii="Times New Roman" w:hAnsi="Times New Roman" w:cs="Times New Roman"/>
          <w:bCs/>
          <w:sz w:val="18"/>
          <w:szCs w:val="18"/>
        </w:rPr>
        <w:t xml:space="preserve">; </w:t>
      </w:r>
      <w:r>
        <w:rPr>
          <w:rFonts w:ascii="Times New Roman" w:hAnsi="Times New Roman" w:cs="Times New Roman"/>
          <w:b/>
          <w:sz w:val="18"/>
          <w:szCs w:val="18"/>
        </w:rPr>
        <w:t xml:space="preserve">e </w:t>
      </w:r>
      <w:r>
        <w:rPr>
          <w:rFonts w:ascii="Times New Roman" w:hAnsi="Times New Roman" w:cs="Times New Roman"/>
          <w:bCs/>
          <w:sz w:val="18"/>
          <w:szCs w:val="18"/>
        </w:rPr>
        <w:t xml:space="preserve">XPS survey spectra of F</w:t>
      </w:r>
      <w:r>
        <w:rPr>
          <w:rFonts w:ascii="Times New Roman" w:hAnsi="Times New Roman" w:cs="Times New Roman"/>
          <w:sz w:val="18"/>
          <w:szCs w:val="18"/>
        </w:rPr>
        <w:t xml:space="preserve">e</w:t>
      </w:r>
      <w:r>
        <w:rPr>
          <w:rFonts w:ascii="Times New Roman" w:hAnsi="Times New Roman" w:cs="Times New Roman"/>
          <w:sz w:val="18"/>
          <w:szCs w:val="18"/>
          <w:vertAlign w:val="subscript"/>
        </w:rPr>
        <w:t xml:space="preserve">3</w:t>
      </w:r>
      <w:r>
        <w:rPr>
          <w:rFonts w:ascii="Times New Roman" w:hAnsi="Times New Roman" w:cs="Times New Roman"/>
          <w:sz w:val="18"/>
          <w:szCs w:val="18"/>
        </w:rPr>
        <w:t xml:space="preserve">O</w:t>
      </w:r>
      <w:r>
        <w:rPr>
          <w:rFonts w:ascii="Times New Roman" w:hAnsi="Times New Roman" w:cs="Times New Roman"/>
          <w:sz w:val="18"/>
          <w:szCs w:val="18"/>
          <w:vertAlign w:val="subscript"/>
        </w:rPr>
        <w:t xml:space="preserve">4</w:t>
      </w:r>
      <w:r>
        <w:rPr>
          <w:rFonts w:ascii="Times New Roman" w:hAnsi="Times New Roman" w:cs="Times New Roman"/>
          <w:sz w:val="18"/>
          <w:szCs w:val="18"/>
        </w:rPr>
        <w:t xml:space="preserve">/</w:t>
      </w:r>
      <w:r>
        <w:rPr>
          <w:rFonts w:ascii="Times New Roman" w:hAnsi="Times New Roman" w:cs="Times New Roman"/>
          <w:sz w:val="18"/>
          <w:szCs w:val="18"/>
        </w:rPr>
        <w:t xml:space="preserve">N-TiO</w:t>
      </w:r>
      <w:r>
        <w:rPr>
          <w:rFonts w:ascii="Times New Roman" w:hAnsi="Times New Roman" w:cs="Times New Roman"/>
          <w:sz w:val="18"/>
          <w:szCs w:val="18"/>
          <w:vertAlign w:val="subscript"/>
        </w:rPr>
        <w:t xml:space="preserve">2</w:t>
      </w:r>
      <w:r>
        <w:rPr>
          <w:rFonts w:ascii="Times New Roman" w:hAnsi="Times New Roman" w:cs="Times New Roman"/>
          <w:sz w:val="18"/>
          <w:szCs w:val="18"/>
        </w:rPr>
        <w:t xml:space="preserve">-</w:t>
      </w:r>
      <w:r>
        <w:rPr>
          <w:rFonts w:ascii="Times New Roman" w:hAnsi="Times New Roman" w:cs="Times New Roman"/>
          <w:sz w:val="18"/>
          <w:szCs w:val="18"/>
        </w:rPr>
        <w:t xml:space="preserve">2</w:t>
      </w:r>
      <w:r>
        <w:rPr>
          <w:rFonts w:ascii="Times New Roman" w:hAnsi="Times New Roman" w:cs="Times New Roman"/>
          <w:sz w:val="18"/>
          <w:szCs w:val="18"/>
        </w:rPr>
        <w:t xml:space="preserve">;</w:t>
      </w:r>
      <w:r>
        <w:rPr>
          <w:rFonts w:ascii="Times New Roman" w:hAnsi="Times New Roman" w:cs="Times New Roman" w:hint="eastAsia"/>
          <w:sz w:val="18"/>
          <w:szCs w:val="18"/>
        </w:rPr>
        <w:t xml:space="preserve"> </w:t>
      </w:r>
      <w:r>
        <w:rPr>
          <w:rFonts w:ascii="Times New Roman" w:hAnsi="Times New Roman" w:cs="Times New Roman"/>
          <w:b/>
          <w:sz w:val="18"/>
          <w:szCs w:val="18"/>
        </w:rPr>
        <w:t xml:space="preserve">f</w:t>
      </w:r>
      <w:r>
        <w:rPr>
          <w:rFonts w:ascii="Times New Roman" w:hAnsi="Times New Roman" w:cs="Times New Roman" w:hint="eastAsia"/>
          <w:b/>
          <w:sz w:val="18"/>
          <w:szCs w:val="18"/>
        </w:rPr>
        <w:t xml:space="preserve"> </w:t>
      </w:r>
      <w:r>
        <w:rPr>
          <w:rFonts w:ascii="Times New Roman" w:hAnsi="Times New Roman" w:cs="Times New Roman"/>
          <w:sz w:val="18"/>
          <w:szCs w:val="18"/>
        </w:rPr>
        <w:t xml:space="preserve">Fe 2p XPS </w:t>
      </w:r>
      <w:r>
        <w:rPr>
          <w:rFonts w:ascii="Times New Roman" w:hAnsi="Times New Roman" w:cs="Times New Roman"/>
          <w:sz w:val="18"/>
          <w:szCs w:val="18"/>
        </w:rPr>
        <w:t xml:space="preserve">spectra </w:t>
      </w:r>
      <w:r>
        <w:rPr>
          <w:rFonts w:ascii="Times New Roman" w:hAnsi="Times New Roman" w:cs="Times New Roman"/>
          <w:bCs/>
          <w:sz w:val="18"/>
          <w:szCs w:val="18"/>
        </w:rPr>
        <w:t xml:space="preserve">of Fe</w:t>
      </w:r>
      <w:r>
        <w:rPr>
          <w:rFonts w:ascii="Times New Roman" w:hAnsi="Times New Roman" w:cs="Times New Roman"/>
          <w:sz w:val="18"/>
          <w:szCs w:val="18"/>
          <w:vertAlign w:val="subscript"/>
        </w:rPr>
        <w:t xml:space="preserve">3</w:t>
      </w:r>
      <w:r>
        <w:rPr>
          <w:rFonts w:ascii="Times New Roman" w:hAnsi="Times New Roman" w:cs="Times New Roman"/>
          <w:sz w:val="18"/>
          <w:szCs w:val="18"/>
        </w:rPr>
        <w:t xml:space="preserve">O</w:t>
      </w:r>
      <w:r>
        <w:rPr>
          <w:rFonts w:ascii="Times New Roman" w:hAnsi="Times New Roman" w:cs="Times New Roman"/>
          <w:sz w:val="18"/>
          <w:szCs w:val="18"/>
          <w:vertAlign w:val="subscript"/>
        </w:rPr>
        <w:t xml:space="preserve">4</w:t>
      </w:r>
      <w:r>
        <w:rPr>
          <w:rFonts w:ascii="Times New Roman" w:hAnsi="Times New Roman" w:cs="Times New Roman"/>
          <w:sz w:val="18"/>
          <w:szCs w:val="18"/>
        </w:rPr>
        <w:t xml:space="preserve">/</w:t>
      </w:r>
      <w:r>
        <w:rPr>
          <w:rFonts w:ascii="Times New Roman" w:hAnsi="Times New Roman" w:cs="Times New Roman"/>
          <w:sz w:val="18"/>
          <w:szCs w:val="18"/>
        </w:rPr>
        <w:t xml:space="preserve">N-TiO</w:t>
      </w:r>
      <w:r>
        <w:rPr>
          <w:rFonts w:ascii="Times New Roman" w:hAnsi="Times New Roman" w:cs="Times New Roman"/>
          <w:sz w:val="18"/>
          <w:szCs w:val="18"/>
          <w:vertAlign w:val="subscript"/>
        </w:rPr>
        <w:t xml:space="preserve">2</w:t>
      </w:r>
      <w:r>
        <w:rPr>
          <w:rFonts w:ascii="Times New Roman" w:hAnsi="Times New Roman" w:cs="Times New Roman"/>
          <w:sz w:val="18"/>
          <w:szCs w:val="18"/>
        </w:rPr>
        <w:t xml:space="preserve">-</w:t>
      </w:r>
      <w:r>
        <w:rPr>
          <w:rFonts w:ascii="Times New Roman" w:hAnsi="Times New Roman" w:cs="Times New Roman"/>
          <w:sz w:val="18"/>
          <w:szCs w:val="18"/>
        </w:rPr>
        <w:t xml:space="preserve">2</w:t>
      </w:r>
      <w:r>
        <w:rPr>
          <w:rFonts w:ascii="Times New Roman" w:hAnsi="Times New Roman" w:cs="Times New Roman"/>
          <w:sz w:val="18"/>
          <w:szCs w:val="18"/>
        </w:rPr>
        <w:t xml:space="preserve"> obtained at different ion-sputtering time; </w:t>
      </w:r>
      <w:r>
        <w:rPr>
          <w:rFonts w:ascii="Times New Roman" w:hAnsi="Times New Roman" w:cs="Times New Roman"/>
          <w:b/>
          <w:bCs/>
          <w:sz w:val="18"/>
          <w:szCs w:val="18"/>
        </w:rPr>
        <w:t xml:space="preserve">g</w:t>
      </w:r>
      <w:r>
        <w:rPr>
          <w:rFonts w:ascii="Times New Roman" w:hAnsi="Times New Roman" w:cs="Times New Roman" w:hint="eastAsia"/>
          <w:b/>
          <w:bCs/>
          <w:sz w:val="18"/>
          <w:szCs w:val="18"/>
        </w:rPr>
        <w:t xml:space="preserve"> </w:t>
      </w:r>
      <w:r>
        <w:rPr>
          <w:rFonts w:ascii="Times New Roman" w:hAnsi="Times New Roman" w:cs="Times New Roman"/>
          <w:sz w:val="18"/>
          <w:szCs w:val="18"/>
        </w:rPr>
        <w:t xml:space="preserve">magnetis</w:t>
      </w:r>
      <w:r>
        <w:rPr>
          <w:rFonts w:ascii="Times New Roman" w:hAnsi="Times New Roman" w:cs="Times New Roman"/>
          <w:sz w:val="18"/>
          <w:szCs w:val="18"/>
        </w:rPr>
        <w:t xml:space="preserve">ation curves of Fe</w:t>
      </w:r>
      <w:r>
        <w:rPr>
          <w:rFonts w:ascii="Times New Roman" w:hAnsi="Times New Roman" w:cs="Times New Roman"/>
          <w:sz w:val="18"/>
          <w:szCs w:val="18"/>
          <w:vertAlign w:val="subscript"/>
        </w:rPr>
        <w:t xml:space="preserve">3</w:t>
      </w:r>
      <w:r>
        <w:rPr>
          <w:rFonts w:ascii="Times New Roman" w:hAnsi="Times New Roman" w:cs="Times New Roman"/>
          <w:sz w:val="18"/>
          <w:szCs w:val="18"/>
        </w:rPr>
        <w:t xml:space="preserve">O</w:t>
      </w:r>
      <w:r>
        <w:rPr>
          <w:rFonts w:ascii="Times New Roman" w:hAnsi="Times New Roman" w:cs="Times New Roman"/>
          <w:sz w:val="18"/>
          <w:szCs w:val="18"/>
          <w:vertAlign w:val="subscript"/>
        </w:rPr>
        <w:t xml:space="preserve">4</w:t>
      </w:r>
      <w:r>
        <w:rPr>
          <w:rFonts w:ascii="Times New Roman" w:hAnsi="Times New Roman" w:cs="Times New Roman"/>
          <w:sz w:val="18"/>
          <w:szCs w:val="18"/>
        </w:rPr>
        <w:t xml:space="preserve"> NPs, Fe</w:t>
      </w:r>
      <w:r>
        <w:rPr>
          <w:rFonts w:ascii="Times New Roman" w:hAnsi="Times New Roman" w:cs="Times New Roman"/>
          <w:sz w:val="18"/>
          <w:szCs w:val="18"/>
          <w:vertAlign w:val="subscript"/>
        </w:rPr>
        <w:t xml:space="preserve">3</w:t>
      </w:r>
      <w:r>
        <w:rPr>
          <w:rFonts w:ascii="Times New Roman" w:hAnsi="Times New Roman" w:cs="Times New Roman"/>
          <w:sz w:val="18"/>
          <w:szCs w:val="18"/>
        </w:rPr>
        <w:t xml:space="preserve">O</w:t>
      </w:r>
      <w:r>
        <w:rPr>
          <w:rFonts w:ascii="Times New Roman" w:hAnsi="Times New Roman" w:cs="Times New Roman"/>
          <w:sz w:val="18"/>
          <w:szCs w:val="18"/>
          <w:vertAlign w:val="subscript"/>
        </w:rPr>
        <w:t xml:space="preserve">4</w:t>
      </w:r>
      <w:r>
        <w:rPr>
          <w:rFonts w:ascii="Times New Roman" w:hAnsi="Times New Roman" w:cs="Times New Roman"/>
          <w:sz w:val="18"/>
          <w:szCs w:val="18"/>
        </w:rPr>
        <w:t xml:space="preserve">/</w:t>
      </w:r>
      <w:r>
        <w:rPr>
          <w:rFonts w:ascii="Times New Roman" w:hAnsi="Times New Roman" w:cs="Times New Roman"/>
          <w:sz w:val="18"/>
          <w:szCs w:val="18"/>
        </w:rPr>
        <w:t xml:space="preserve">N-TiO</w:t>
      </w:r>
      <w:r>
        <w:rPr>
          <w:rFonts w:ascii="Times New Roman" w:hAnsi="Times New Roman" w:cs="Times New Roman"/>
          <w:sz w:val="18"/>
          <w:szCs w:val="18"/>
          <w:vertAlign w:val="subscript"/>
        </w:rPr>
        <w:t xml:space="preserve">2</w:t>
      </w:r>
      <w:r>
        <w:rPr>
          <w:rFonts w:ascii="Times New Roman" w:hAnsi="Times New Roman" w:cs="Times New Roman"/>
          <w:sz w:val="18"/>
          <w:szCs w:val="18"/>
        </w:rPr>
        <w:t xml:space="preserve">-</w:t>
      </w:r>
      <w:r>
        <w:rPr>
          <w:rFonts w:ascii="Times New Roman" w:hAnsi="Times New Roman" w:cs="Times New Roman"/>
          <w:sz w:val="18"/>
          <w:szCs w:val="18"/>
        </w:rPr>
        <w:t xml:space="preserve">2</w:t>
      </w:r>
      <w:r>
        <w:rPr>
          <w:rFonts w:ascii="Times New Roman" w:hAnsi="Times New Roman" w:cs="Times New Roman"/>
          <w:sz w:val="18"/>
          <w:szCs w:val="18"/>
        </w:rPr>
        <w:t xml:space="preserve"> and N-TiO</w:t>
      </w:r>
      <w:r>
        <w:rPr>
          <w:rFonts w:ascii="Times New Roman" w:hAnsi="Times New Roman" w:cs="Times New Roman"/>
          <w:sz w:val="18"/>
          <w:szCs w:val="18"/>
          <w:vertAlign w:val="subscript"/>
        </w:rPr>
        <w:t xml:space="preserve">2</w:t>
      </w:r>
      <w:r>
        <w:rPr>
          <w:rFonts w:ascii="Times New Roman" w:hAnsi="Times New Roman" w:cs="Times New Roman"/>
          <w:sz w:val="18"/>
          <w:szCs w:val="18"/>
        </w:rPr>
        <w:t xml:space="preserve">. Static</w:t>
      </w:r>
      <w:r>
        <w:rPr>
          <w:rFonts w:ascii="Times New Roman" w:hAnsi="Times New Roman" w:cs="Times New Roman" w:hint="eastAsia"/>
          <w:sz w:val="18"/>
          <w:szCs w:val="18"/>
        </w:rPr>
        <w:t xml:space="preserve"> </w:t>
      </w:r>
      <w:r>
        <w:rPr>
          <w:rFonts w:ascii="Times New Roman" w:hAnsi="Times New Roman" w:cs="Times New Roman"/>
          <w:bCs/>
          <w:sz w:val="18"/>
          <w:szCs w:val="18"/>
        </w:rPr>
        <w:t xml:space="preserve">magnetic properties of samples were measured using a superconducting</w:t>
      </w:r>
      <w:r>
        <w:rPr>
          <w:rFonts w:ascii="Times New Roman" w:hAnsi="Times New Roman" w:cs="Times New Roman" w:hint="eastAsia"/>
          <w:bCs/>
          <w:sz w:val="18"/>
          <w:szCs w:val="18"/>
        </w:rPr>
        <w:t xml:space="preserve"> </w:t>
      </w:r>
      <w:r>
        <w:rPr>
          <w:rFonts w:ascii="Times New Roman" w:hAnsi="Times New Roman" w:cs="Times New Roman"/>
          <w:bCs/>
          <w:sz w:val="18"/>
          <w:szCs w:val="18"/>
        </w:rPr>
        <w:t xml:space="preserve">quantum interference device (SQUID, Quantum Design MPMS-XL-5).</w:t>
      </w:r>
      <w:r/>
    </w:p>
    <w:p>
      <w:pPr>
        <w:jc w:val="both"/>
        <w:spacing w:lineRule="exact" w:line="400" w:after="156"/>
        <w:rPr>
          <w:rFonts w:ascii="Times New Roman" w:hAnsi="Times New Roman" w:cs="Times New Roman"/>
          <w:bCs/>
          <w:sz w:val="21"/>
          <w:szCs w:val="21"/>
        </w:rPr>
      </w:pPr>
      <w:r>
        <w:rPr>
          <w:rFonts w:ascii="Times New Roman" w:hAnsi="Times New Roman" w:cs="Times New Roman"/>
          <w:bCs/>
          <w:sz w:val="21"/>
          <w:szCs w:val="21"/>
        </w:rPr>
        <w:t xml:space="preserve">The photocatalytic performances of the as-prepared photocatalysts were then evaluated for the POWS reaction in a closed batch reactor</w:t>
      </w:r>
      <w:r>
        <w:rPr>
          <w:rFonts w:ascii="Times New Roman" w:hAnsi="Times New Roman" w:cs="Times New Roman"/>
          <w:bCs/>
          <w:sz w:val="21"/>
          <w:szCs w:val="21"/>
        </w:rPr>
        <w:t xml:space="preserve"> at 270 </w:t>
      </w:r>
      <w:r>
        <w:rPr>
          <w:rFonts w:ascii="Times New Roman" w:hAnsi="Times New Roman" w:cs="Times New Roman"/>
          <w:bCs/>
          <w:sz w:val="21"/>
          <w:szCs w:val="21"/>
          <w:vertAlign w:val="superscript"/>
        </w:rPr>
        <w:t xml:space="preserve">o</w:t>
      </w:r>
      <w:r>
        <w:rPr>
          <w:rFonts w:ascii="Times New Roman" w:hAnsi="Times New Roman" w:cs="Times New Roman"/>
          <w:bCs/>
          <w:sz w:val="21"/>
          <w:szCs w:val="21"/>
        </w:rPr>
        <w:t xml:space="preserve">C</w:t>
      </w:r>
      <w:r>
        <w:rPr>
          <w:rFonts w:ascii="Times New Roman" w:hAnsi="Times New Roman" w:cs="Times New Roman"/>
          <w:bCs/>
          <w:sz w:val="21"/>
          <w:szCs w:val="21"/>
        </w:rPr>
        <w:t xml:space="preserve">.</w:t>
      </w:r>
      <w:r>
        <w:rPr>
          <w:rFonts w:ascii="Times New Roman" w:hAnsi="Times New Roman" w:cs="Times New Roman"/>
          <w:bCs/>
          <w:sz w:val="21"/>
          <w:szCs w:val="21"/>
        </w:rPr>
        <w:t xml:space="preserve"> Our </w:t>
      </w:r>
      <w:r>
        <w:rPr>
          <w:rFonts w:ascii="Times New Roman" w:hAnsi="Times New Roman" w:cs="Times New Roman"/>
          <w:bCs/>
          <w:sz w:val="21"/>
          <w:szCs w:val="21"/>
        </w:rPr>
        <w:t xml:space="preserve">recent</w:t>
      </w:r>
      <w:r>
        <w:rPr>
          <w:rFonts w:ascii="Times New Roman" w:hAnsi="Times New Roman" w:cs="Times New Roman"/>
          <w:bCs/>
          <w:sz w:val="21"/>
          <w:szCs w:val="21"/>
        </w:rPr>
        <w:t xml:space="preserve"> study shows that for N-TiO</w:t>
      </w:r>
      <w:r>
        <w:rPr>
          <w:rFonts w:ascii="Times New Roman" w:hAnsi="Times New Roman" w:cs="Times New Roman"/>
          <w:bCs/>
          <w:sz w:val="21"/>
          <w:szCs w:val="21"/>
          <w:vertAlign w:val="subscript"/>
        </w:rPr>
        <w:t xml:space="preserve">2</w:t>
      </w:r>
      <w:r>
        <w:rPr>
          <w:rFonts w:ascii="Times New Roman" w:hAnsi="Times New Roman" w:cs="Times New Roman"/>
          <w:bCs/>
          <w:sz w:val="21"/>
          <w:szCs w:val="21"/>
        </w:rPr>
        <w:t xml:space="preserve"> based photocatalysts, the POWS performance is greatly dependent on the temperature</w:t>
      </w:r>
      <w:r>
        <w:rPr>
          <w:rFonts w:ascii="Times New Roman" w:hAnsi="Times New Roman" w:cs="Times New Roman"/>
          <w:bCs/>
          <w:sz w:val="21"/>
          <w:szCs w:val="21"/>
        </w:rPr>
        <w:fldChar w:fldCharType="begin"/>
      </w:r>
      <w:r>
        <w:rPr>
          <w:rFonts w:ascii="Times New Roman" w:hAnsi="Times New Roman" w:cs="Times New Roman"/>
          <w:bCs/>
          <w:sz w:val="21"/>
          <w:szCs w:val="21"/>
        </w:rPr>
        <w:instrText xml:space="preserve">ADDIN CSL_CITATION {"citationItems":[{"id":"ITEM-1","itemData":{"DOI":"10.1038/s41467-019-12385-1","ISSN":"20411723","abstract":"Photocatalytic water splitting is at</w:instrText>
      </w:r>
      <w:r>
        <w:rPr>
          <w:rFonts w:ascii="Times New Roman" w:hAnsi="Times New Roman" w:cs="Times New Roman"/>
          <w:bCs/>
          <w:sz w:val="21"/>
          <w:szCs w:val="21"/>
        </w:rPr>
        <w:instrText xml:space="preserve">tracting enormous interest for the storage of solar energy but no practical method has yet been identified. In the past decades, various systems have been developed but most of them suffer from low activities, a narrow range of absorption and poor quantum </w:instrText>
      </w:r>
      <w:r>
        <w:rPr>
          <w:rFonts w:ascii="Times New Roman" w:hAnsi="Times New Roman" w:cs="Times New Roman"/>
          <w:bCs/>
          <w:sz w:val="21"/>
          <w:szCs w:val="21"/>
        </w:rPr>
        <w:instrText xml:space="preserve">efficiencies (Q.E.) due to fast recombination of charge carriers. Here we report a dramatic suppression of electron-hole pair recombination on the surface of N-doped TiO2 based nanocatalysts under enhanced concentrations of H+ and OH−, and local electric f</w:instrText>
      </w:r>
      <w:r>
        <w:rPr>
          <w:rFonts w:ascii="Times New Roman" w:hAnsi="Times New Roman" w:cs="Times New Roman"/>
          <w:bCs/>
          <w:sz w:val="21"/>
          <w:szCs w:val="21"/>
        </w:rPr>
        <w:instrText xml:space="preserve">ield polarization of a MgO (111) support during photolysis of water at elevated temperatures. Thus, a broad optical absorption is seen, producing O2 and H2 in a 1:2 molar ratio with a H2 evolution rate of over 11,000 μmol g−1 h−1 without any sacrificial re</w:instrText>
      </w:r>
      <w:r>
        <w:rPr>
          <w:rFonts w:ascii="Times New Roman" w:hAnsi="Times New Roman" w:cs="Times New Roman"/>
          <w:bCs/>
          <w:sz w:val="21"/>
          <w:szCs w:val="21"/>
        </w:rPr>
        <w:instrText xml:space="preserve">agents at 270 °C. An exceptional range of Q.E. from 81.8% at 437 nm to 3.2% at 1000 nm is also reported.","author":[{"dropping-particle":"","family":"Li","given":"Yiyang","non-dropping-particle":"","parse-names":false,"suffix":""},{"dropping-particle":"","</w:instrText>
      </w:r>
      <w:r>
        <w:rPr>
          <w:rFonts w:ascii="Times New Roman" w:hAnsi="Times New Roman" w:cs="Times New Roman"/>
          <w:bCs/>
          <w:sz w:val="21"/>
          <w:szCs w:val="21"/>
        </w:rPr>
        <w:instrText xml:space="preserve">family":"Peng","given":"Yung-Kang","non-dropping-particle":"","parse-names":false,"suffix":""},{"dropping-particle":"","family":"Hu","given":"Liangsheng","non-dropping-particle":"","parse-names":false,"suffix":""},{"dropping-particle":"","family":"Zheng","</w:instrText>
      </w:r>
      <w:r>
        <w:rPr>
          <w:rFonts w:ascii="Times New Roman" w:hAnsi="Times New Roman" w:cs="Times New Roman"/>
          <w:bCs/>
          <w:sz w:val="21"/>
          <w:szCs w:val="21"/>
        </w:rPr>
        <w:instrText xml:space="preserve">given":"Jianwei","non-dropping-particle":"","parse-names":false,"suffix":""},{"dropping-particle":"","family":"Prabhakaran","given":"Dharmalingam","non-dropping-particle":"","parse-names":false,"suffix":""},{"dropping-particle":"","family":"Wu","given":"Si</w:instrText>
      </w:r>
      <w:r>
        <w:rPr>
          <w:rFonts w:ascii="Times New Roman" w:hAnsi="Times New Roman" w:cs="Times New Roman"/>
          <w:bCs/>
          <w:sz w:val="21"/>
          <w:szCs w:val="21"/>
        </w:rPr>
        <w:instrText xml:space="preserve">mson","non-dropping-particle":"","parse-names":false,"suffix":""},{"dropping-particle":"","family":"Puchtler","given":"Timothy J.","non-dropping-particle":"","parse-names":false,"suffix":""},{"dropping-particle":"","family":"Li","given":"Mo","non-dropping-</w:instrText>
      </w:r>
      <w:r>
        <w:rPr>
          <w:rFonts w:ascii="Times New Roman" w:hAnsi="Times New Roman" w:cs="Times New Roman"/>
          <w:bCs/>
          <w:sz w:val="21"/>
          <w:szCs w:val="21"/>
        </w:rPr>
        <w:instrText xml:space="preserve">particle":"","parse-names":false,"suffix":""},{"dropping-particle":"","family":"Wong","given":"Kwok-Yin","non-dropping-particle":"","parse-names":false,"suffix":""},{"dropping-particle":"","family":"Taylor","given":"Robert A.","non-dropping-particle":"","p</w:instrText>
      </w:r>
      <w:r>
        <w:rPr>
          <w:rFonts w:ascii="Times New Roman" w:hAnsi="Times New Roman" w:cs="Times New Roman"/>
          <w:bCs/>
          <w:sz w:val="21"/>
          <w:szCs w:val="21"/>
        </w:rPr>
        <w:instrText xml:space="preserve">arse-names":false,"suffix":""},{"dropping-particle":"","family":"Tsang","given":"Shik Chi Edman","non-dropping-particle":"","parse-names":false,"suffix":""}],"container-title":"Nature Communications","id":"ITEM-1","issued":{"date-parts":[["2019"]]},"page":</w:instrText>
      </w:r>
      <w:r>
        <w:rPr>
          <w:rFonts w:ascii="Times New Roman" w:hAnsi="Times New Roman" w:cs="Times New Roman"/>
          <w:bCs/>
          <w:sz w:val="21"/>
          <w:szCs w:val="21"/>
        </w:rPr>
        <w:instrText xml:space="preserve">"4421","title":"Photocatalytic water splitting by N-TiO2 on MgO (111) with exceptional quantum efficiencies at elevated temperatures","type":"article-journal","volume":"10"},"uris":["http://www.mendeley.com/documents/?uuid=056ce234-319b-4fc1-b7da-45ef91bf4</w:instrText>
      </w:r>
      <w:r>
        <w:rPr>
          <w:rFonts w:ascii="Times New Roman" w:hAnsi="Times New Roman" w:cs="Times New Roman"/>
          <w:bCs/>
          <w:sz w:val="21"/>
          <w:szCs w:val="21"/>
        </w:rPr>
        <w:instrText xml:space="preserve">e9e"]}],"mendeley":{"formattedCitation":"&lt;sup&gt;11&lt;/sup&gt;","plainTextFormattedCitation":"11","previouslyFormattedCitation":"&lt;sup&gt;11&lt;/sup&gt;"},"properties":{"noteIndex":0},"schema":"https://github.com/citation-style-language/schema/raw/master/csl-citation.json"}</w:instrText>
      </w:r>
      <w:r>
        <w:rPr>
          <w:rFonts w:ascii="Times New Roman" w:hAnsi="Times New Roman" w:cs="Times New Roman"/>
          <w:bCs/>
          <w:sz w:val="21"/>
          <w:szCs w:val="21"/>
        </w:rPr>
        <w:fldChar w:fldCharType="separate"/>
      </w:r>
      <w:r>
        <w:rPr>
          <w:rFonts w:ascii="Times New Roman" w:hAnsi="Times New Roman" w:cs="Times New Roman"/>
          <w:bCs/>
          <w:sz w:val="21"/>
          <w:szCs w:val="21"/>
          <w:vertAlign w:val="superscript"/>
        </w:rPr>
        <w:t xml:space="preserve">11</w:t>
      </w:r>
      <w:r>
        <w:rPr>
          <w:rFonts w:ascii="Times New Roman" w:hAnsi="Times New Roman" w:cs="Times New Roman"/>
          <w:bCs/>
          <w:sz w:val="21"/>
          <w:szCs w:val="21"/>
        </w:rPr>
        <w:fldChar w:fldCharType="end"/>
      </w:r>
      <w:r>
        <w:rPr>
          <w:rFonts w:ascii="Times New Roman" w:hAnsi="Times New Roman" w:cs="Times New Roman"/>
          <w:bCs/>
          <w:sz w:val="21"/>
          <w:szCs w:val="21"/>
        </w:rPr>
        <w:t xml:space="preserve">: the hydrogen evolution rate increases with the temperature and </w:t>
      </w:r>
      <w:r>
        <w:rPr>
          <w:rFonts w:ascii="Times New Roman" w:hAnsi="Times New Roman" w:cs="Times New Roman"/>
          <w:bCs/>
          <w:sz w:val="21"/>
          <w:szCs w:val="21"/>
        </w:rPr>
        <w:t xml:space="preserve">reaches the optimal activity </w:t>
      </w:r>
      <w:r>
        <w:rPr>
          <w:rFonts w:ascii="Times New Roman" w:hAnsi="Times New Roman" w:cs="Times New Roman"/>
          <w:bCs/>
          <w:sz w:val="21"/>
          <w:szCs w:val="21"/>
        </w:rPr>
        <w:t xml:space="preserve">at around 270 </w:t>
      </w:r>
      <w:r>
        <w:rPr>
          <w:rFonts w:ascii="Times New Roman" w:hAnsi="Times New Roman" w:cs="Times New Roman"/>
          <w:bCs/>
          <w:sz w:val="21"/>
          <w:szCs w:val="21"/>
          <w:vertAlign w:val="superscript"/>
        </w:rPr>
        <w:t xml:space="preserve">o</w:t>
      </w:r>
      <w:r>
        <w:rPr>
          <w:rFonts w:ascii="Times New Roman" w:hAnsi="Times New Roman" w:cs="Times New Roman"/>
          <w:bCs/>
          <w:sz w:val="21"/>
          <w:szCs w:val="21"/>
        </w:rPr>
        <w:t xml:space="preserve">C</w:t>
      </w:r>
      <w:r>
        <w:rPr>
          <w:rFonts w:ascii="Times New Roman" w:hAnsi="Times New Roman" w:cs="Times New Roman"/>
          <w:bCs/>
          <w:sz w:val="21"/>
          <w:szCs w:val="21"/>
        </w:rPr>
        <w:t xml:space="preserve"> following the change in </w:t>
      </w:r>
      <w:r>
        <w:rPr>
          <w:rFonts w:ascii="Times New Roman" w:hAnsi="Times New Roman" w:cs="Times New Roman"/>
          <w:bCs/>
          <w:sz w:val="21"/>
          <w:szCs w:val="21"/>
        </w:rPr>
        <w:t xml:space="preserve">water dissociation</w:t>
      </w:r>
      <w:r>
        <w:rPr>
          <w:rFonts w:ascii="Times New Roman" w:hAnsi="Times New Roman" w:cs="Times New Roman"/>
          <w:bCs/>
          <w:sz w:val="21"/>
          <w:szCs w:val="21"/>
        </w:rPr>
        <w:t xml:space="preserve"> constant</w:t>
      </w:r>
      <w:r>
        <w:rPr>
          <w:rFonts w:ascii="Times New Roman" w:hAnsi="Times New Roman" w:cs="Times New Roman"/>
          <w:bCs/>
          <w:sz w:val="21"/>
          <w:szCs w:val="21"/>
        </w:rPr>
        <w:t xml:space="preserve">. </w:t>
      </w:r>
      <w:r>
        <w:rPr>
          <w:rFonts w:ascii="Times New Roman" w:hAnsi="Times New Roman" w:cs="Times New Roman"/>
          <w:bCs/>
          <w:sz w:val="21"/>
          <w:szCs w:val="21"/>
        </w:rPr>
        <w:t xml:space="preserve">Systematic EPR study implied that the oxygen mobility and re-generation of </w:t>
      </w:r>
      <w:r>
        <w:rPr>
          <w:rFonts w:ascii="Times New Roman" w:hAnsi="Times New Roman" w:cs="Times New Roman"/>
          <w:bCs/>
          <w:sz w:val="21"/>
          <w:szCs w:val="21"/>
        </w:rPr>
        <w:t xml:space="preserve">the charged </w:t>
      </w:r>
      <w:r>
        <w:rPr>
          <w:rFonts w:ascii="Times New Roman" w:hAnsi="Times New Roman" w:cs="Times New Roman"/>
          <w:bCs/>
          <w:sz w:val="21"/>
          <w:szCs w:val="21"/>
        </w:rPr>
        <w:t xml:space="preserve">oxygen vacancies were greatly facilitated at elevated temperatures</w:t>
      </w:r>
      <w:r>
        <w:rPr>
          <w:rFonts w:ascii="Times New Roman" w:hAnsi="Times New Roman" w:cs="Times New Roman"/>
          <w:bCs/>
          <w:sz w:val="21"/>
          <w:szCs w:val="21"/>
        </w:rPr>
        <w:t xml:space="preserve"> to facilitate a rapid </w:t>
      </w:r>
      <w:r>
        <w:rPr>
          <w:rFonts w:ascii="Times New Roman" w:hAnsi="Times New Roman" w:cs="Times New Roman"/>
          <w:bCs/>
          <w:sz w:val="21"/>
          <w:szCs w:val="21"/>
        </w:rPr>
        <w:t xml:space="preserve">photo water splitting</w:t>
      </w:r>
      <w:r>
        <w:rPr>
          <w:rFonts w:ascii="Times New Roman" w:hAnsi="Times New Roman" w:cs="Times New Roman"/>
          <w:bCs/>
          <w:sz w:val="21"/>
          <w:szCs w:val="21"/>
        </w:rPr>
        <w:fldChar w:fldCharType="begin"/>
      </w:r>
      <w:r>
        <w:rPr>
          <w:rFonts w:ascii="Times New Roman" w:hAnsi="Times New Roman" w:cs="Times New Roman"/>
          <w:bCs/>
          <w:sz w:val="21"/>
          <w:szCs w:val="21"/>
        </w:rPr>
        <w:instrText xml:space="preserve">ADDIN CSL_CITATION {"citationItems":[{"id":"ITEM-1","itemData":{"DOI":"10.1038/s41467-019-12385-1","ISSN":"20411723","abstract":"Photocatalytic water splitting is at</w:instrText>
      </w:r>
      <w:r>
        <w:rPr>
          <w:rFonts w:ascii="Times New Roman" w:hAnsi="Times New Roman" w:cs="Times New Roman"/>
          <w:bCs/>
          <w:sz w:val="21"/>
          <w:szCs w:val="21"/>
        </w:rPr>
        <w:instrText xml:space="preserve">tracting enormous interest for the storage of solar energy but no practical method has yet been identified. In the past decades, various systems have been developed but most of them suffer from low activities, a narrow range of absorption and poor quantum </w:instrText>
      </w:r>
      <w:r>
        <w:rPr>
          <w:rFonts w:ascii="Times New Roman" w:hAnsi="Times New Roman" w:cs="Times New Roman"/>
          <w:bCs/>
          <w:sz w:val="21"/>
          <w:szCs w:val="21"/>
        </w:rPr>
        <w:instrText xml:space="preserve">efficiencies (Q.E.) due to fast recombination of charge carriers. Here we report a dramatic suppression of electron-hole pair recombination on the surface of N-doped TiO2 based nanocatalysts under enhanced concentrations of H+ and OH−, and local electric f</w:instrText>
      </w:r>
      <w:r>
        <w:rPr>
          <w:rFonts w:ascii="Times New Roman" w:hAnsi="Times New Roman" w:cs="Times New Roman"/>
          <w:bCs/>
          <w:sz w:val="21"/>
          <w:szCs w:val="21"/>
        </w:rPr>
        <w:instrText xml:space="preserve">ield polarization of a MgO (111) support during photolysis of water at elevated temperatures. Thus, a broad optical absorption is seen, producing O2 and H2 in a 1:2 molar ratio with a H2 evolution rate of over 11,000 μmol g−1 h−1 without any sacrificial re</w:instrText>
      </w:r>
      <w:r>
        <w:rPr>
          <w:rFonts w:ascii="Times New Roman" w:hAnsi="Times New Roman" w:cs="Times New Roman"/>
          <w:bCs/>
          <w:sz w:val="21"/>
          <w:szCs w:val="21"/>
        </w:rPr>
        <w:instrText xml:space="preserve">agents at 270 °C. An exceptional range of Q.E. from 81.8% at 437 nm to 3.2% at 1000 nm is also reported.","author":[{"dropping-particle":"","family":"Li","given":"Yiyang","non-dropping-particle":"","parse-names":false,"suffix":""},{"dropping-particle":"","</w:instrText>
      </w:r>
      <w:r>
        <w:rPr>
          <w:rFonts w:ascii="Times New Roman" w:hAnsi="Times New Roman" w:cs="Times New Roman"/>
          <w:bCs/>
          <w:sz w:val="21"/>
          <w:szCs w:val="21"/>
        </w:rPr>
        <w:instrText xml:space="preserve">family":"Peng","given":"Yung-Kang","non-dropping-particle":"","parse-names":false,"suffix":""},{"dropping-particle":"","family":"Hu","given":"Liangsheng","non-dropping-particle":"","parse-names":false,"suffix":""},{"dropping-particle":"","family":"Zheng","</w:instrText>
      </w:r>
      <w:r>
        <w:rPr>
          <w:rFonts w:ascii="Times New Roman" w:hAnsi="Times New Roman" w:cs="Times New Roman"/>
          <w:bCs/>
          <w:sz w:val="21"/>
          <w:szCs w:val="21"/>
        </w:rPr>
        <w:instrText xml:space="preserve">given":"Jianwei","non-dropping-particle":"","parse-names":false,"suffix":""},{"dropping-particle":"","family":"Prabhakaran","given":"Dharmalingam","non-dropping-particle":"","parse-names":false,"suffix":""},{"dropping-particle":"","family":"Wu","given":"Si</w:instrText>
      </w:r>
      <w:r>
        <w:rPr>
          <w:rFonts w:ascii="Times New Roman" w:hAnsi="Times New Roman" w:cs="Times New Roman"/>
          <w:bCs/>
          <w:sz w:val="21"/>
          <w:szCs w:val="21"/>
        </w:rPr>
        <w:instrText xml:space="preserve">mson","non-dropping-particle":"","parse-names":false,"suffix":""},{"dropping-particle":"","family":"Puchtler","given":"Timothy J.","non-dropping-particle":"","parse-names":false,"suffix":""},{"dropping-particle":"","family":"Li","given":"Mo","non-dropping-</w:instrText>
      </w:r>
      <w:r>
        <w:rPr>
          <w:rFonts w:ascii="Times New Roman" w:hAnsi="Times New Roman" w:cs="Times New Roman"/>
          <w:bCs/>
          <w:sz w:val="21"/>
          <w:szCs w:val="21"/>
        </w:rPr>
        <w:instrText xml:space="preserve">particle":"","parse-names":false,"suffix":""},{"dropping-particle":"","family":"Wong","given":"Kwok-Yin","non-dropping-particle":"","parse-names":false,"suffix":""},{"dropping-particle":"","family":"Taylor","given":"Robert A.","non-dropping-particle":"","p</w:instrText>
      </w:r>
      <w:r>
        <w:rPr>
          <w:rFonts w:ascii="Times New Roman" w:hAnsi="Times New Roman" w:cs="Times New Roman"/>
          <w:bCs/>
          <w:sz w:val="21"/>
          <w:szCs w:val="21"/>
        </w:rPr>
        <w:instrText xml:space="preserve">arse-names":false,"suffix":""},{"dropping-particle":"","family":"Tsang","given":"Shik Chi Edman","non-dropping-particle":"","parse-names":false,"suffix":""}],"container-title":"Nature Communications","id":"ITEM-1","issued":{"date-parts":[["2019"]]},"page":</w:instrText>
      </w:r>
      <w:r>
        <w:rPr>
          <w:rFonts w:ascii="Times New Roman" w:hAnsi="Times New Roman" w:cs="Times New Roman"/>
          <w:bCs/>
          <w:sz w:val="21"/>
          <w:szCs w:val="21"/>
        </w:rPr>
        <w:instrText xml:space="preserve">"4421","title":"Photocatalytic water splitting by N-TiO2 on MgO (111) with exceptional quantum efficiencies at elevated temperatures","type":"article-journal","volume":"10"},"uris":["http://www.mendeley.com/documents/?uuid=056ce234-319b-4fc1-b7da-45ef91bf4</w:instrText>
      </w:r>
      <w:r>
        <w:rPr>
          <w:rFonts w:ascii="Times New Roman" w:hAnsi="Times New Roman" w:cs="Times New Roman"/>
          <w:bCs/>
          <w:sz w:val="21"/>
          <w:szCs w:val="21"/>
        </w:rPr>
        <w:instrText xml:space="preserve">e9e"]}],"mendeley":{"formattedCitation":"&lt;sup&gt;11&lt;/sup&gt;","plainTextFormattedCitation":"11","previouslyFormattedCitation":"&lt;sup&gt;11&lt;/sup&gt;"},"properties":{"noteIndex":0},"schema":"https://github.com/citation-style-language/schema/raw/master/csl-citation.json"}</w:instrText>
      </w:r>
      <w:r>
        <w:rPr>
          <w:rFonts w:ascii="Times New Roman" w:hAnsi="Times New Roman" w:cs="Times New Roman"/>
          <w:bCs/>
          <w:sz w:val="21"/>
          <w:szCs w:val="21"/>
        </w:rPr>
        <w:fldChar w:fldCharType="separate"/>
      </w:r>
      <w:r>
        <w:rPr>
          <w:rFonts w:ascii="Times New Roman" w:hAnsi="Times New Roman" w:cs="Times New Roman"/>
          <w:bCs/>
          <w:sz w:val="21"/>
          <w:szCs w:val="21"/>
          <w:vertAlign w:val="superscript"/>
        </w:rPr>
        <w:t xml:space="preserve">11</w:t>
      </w:r>
      <w:r>
        <w:rPr>
          <w:rFonts w:ascii="Times New Roman" w:hAnsi="Times New Roman" w:cs="Times New Roman"/>
          <w:bCs/>
          <w:sz w:val="21"/>
          <w:szCs w:val="21"/>
        </w:rPr>
        <w:fldChar w:fldCharType="end"/>
      </w:r>
      <w:r>
        <w:rPr>
          <w:rFonts w:ascii="Times New Roman" w:hAnsi="Times New Roman" w:cs="Times New Roman"/>
          <w:bCs/>
          <w:sz w:val="21"/>
          <w:szCs w:val="21"/>
        </w:rPr>
        <w:t xml:space="preserve">. </w:t>
      </w:r>
      <w:r>
        <w:rPr>
          <w:rFonts w:ascii="Times New Roman" w:hAnsi="Times New Roman" w:cs="Times New Roman"/>
          <w:bCs/>
          <w:sz w:val="21"/>
          <w:szCs w:val="21"/>
        </w:rPr>
        <w:t xml:space="preserve">More information on photocatalysis at elevated temperatures is shown in </w:t>
      </w:r>
      <w:r>
        <w:rPr>
          <w:rFonts w:ascii="Times New Roman" w:hAnsi="Times New Roman" w:cs="Times New Roman"/>
          <w:bCs/>
          <w:color w:val="FF0000"/>
          <w:sz w:val="21"/>
          <w:szCs w:val="21"/>
        </w:rPr>
        <w:t xml:space="preserve">Supplementary Note 1</w:t>
      </w:r>
      <w:r>
        <w:rPr>
          <w:rFonts w:ascii="Times New Roman" w:hAnsi="Times New Roman" w:cs="Times New Roman"/>
          <w:bCs/>
          <w:sz w:val="21"/>
          <w:szCs w:val="21"/>
        </w:rPr>
        <w:t xml:space="preserve">.</w:t>
      </w:r>
      <w:r/>
    </w:p>
    <w:p>
      <w:pPr>
        <w:jc w:val="both"/>
        <w:spacing w:lineRule="exact" w:line="400" w:after="156"/>
        <w:rPr>
          <w:rFonts w:ascii="Times New Roman" w:hAnsi="Times New Roman" w:cs="Times New Roman"/>
          <w:bCs/>
          <w:sz w:val="21"/>
          <w:szCs w:val="21"/>
        </w:rPr>
      </w:pPr>
      <w:r>
        <w:rPr>
          <w:rFonts w:ascii="Times New Roman" w:hAnsi="Times New Roman" w:cs="Times New Roman"/>
          <w:bCs/>
          <w:sz w:val="21"/>
          <w:szCs w:val="21"/>
        </w:rPr>
        <w:t xml:space="preserve">Initial experiments were performed over N-TiO</w:t>
      </w:r>
      <w:r>
        <w:rPr>
          <w:rFonts w:ascii="Times New Roman" w:hAnsi="Times New Roman" w:cs="Times New Roman"/>
          <w:bCs/>
          <w:sz w:val="21"/>
          <w:szCs w:val="21"/>
          <w:vertAlign w:val="subscript"/>
        </w:rPr>
        <w:t xml:space="preserve">2</w:t>
      </w:r>
      <w:r>
        <w:rPr>
          <w:rFonts w:ascii="Times New Roman" w:hAnsi="Times New Roman" w:cs="Times New Roman"/>
          <w:bCs/>
          <w:sz w:val="21"/>
          <w:szCs w:val="21"/>
        </w:rPr>
        <w:t xml:space="preserve"> and Fe</w:t>
      </w:r>
      <w:r>
        <w:rPr>
          <w:rFonts w:ascii="Times New Roman" w:hAnsi="Times New Roman" w:cs="Times New Roman"/>
          <w:bCs/>
          <w:sz w:val="21"/>
          <w:szCs w:val="21"/>
          <w:vertAlign w:val="subscript"/>
        </w:rPr>
        <w:t xml:space="preserve">3</w:t>
      </w:r>
      <w:r>
        <w:rPr>
          <w:rFonts w:ascii="Times New Roman" w:hAnsi="Times New Roman" w:cs="Times New Roman"/>
          <w:bCs/>
          <w:sz w:val="21"/>
          <w:szCs w:val="21"/>
        </w:rPr>
        <w:t xml:space="preserve">O</w:t>
      </w:r>
      <w:r>
        <w:rPr>
          <w:rFonts w:ascii="Times New Roman" w:hAnsi="Times New Roman" w:cs="Times New Roman"/>
          <w:bCs/>
          <w:sz w:val="21"/>
          <w:szCs w:val="21"/>
          <w:vertAlign w:val="subscript"/>
        </w:rPr>
        <w:t xml:space="preserve">4</w:t>
      </w:r>
      <w:r>
        <w:rPr>
          <w:rFonts w:ascii="Times New Roman" w:hAnsi="Times New Roman" w:cs="Times New Roman"/>
          <w:bCs/>
          <w:sz w:val="21"/>
          <w:szCs w:val="21"/>
        </w:rPr>
        <w:t xml:space="preserve">/</w:t>
      </w:r>
      <w:r>
        <w:rPr>
          <w:rFonts w:ascii="Times New Roman" w:hAnsi="Times New Roman" w:cs="Times New Roman"/>
          <w:bCs/>
          <w:sz w:val="21"/>
          <w:szCs w:val="21"/>
        </w:rPr>
        <w:t xml:space="preserve">N-TiO</w:t>
      </w:r>
      <w:r>
        <w:rPr>
          <w:rFonts w:ascii="Times New Roman" w:hAnsi="Times New Roman" w:cs="Times New Roman"/>
          <w:bCs/>
          <w:sz w:val="21"/>
          <w:szCs w:val="21"/>
          <w:vertAlign w:val="subscript"/>
        </w:rPr>
        <w:t xml:space="preserve">2</w:t>
      </w:r>
      <w:r>
        <w:rPr>
          <w:rFonts w:ascii="Times New Roman" w:hAnsi="Times New Roman" w:cs="Times New Roman"/>
          <w:bCs/>
          <w:sz w:val="21"/>
          <w:szCs w:val="21"/>
        </w:rPr>
        <w:t xml:space="preserve">-</w:t>
      </w:r>
      <w:r>
        <w:rPr>
          <w:rFonts w:ascii="Times New Roman" w:hAnsi="Times New Roman" w:cs="Times New Roman"/>
          <w:bCs/>
          <w:sz w:val="21"/>
          <w:szCs w:val="21"/>
        </w:rPr>
        <w:t xml:space="preserve">2</w:t>
      </w:r>
      <w:r>
        <w:rPr>
          <w:rFonts w:ascii="Times New Roman" w:hAnsi="Times New Roman" w:cs="Times New Roman"/>
          <w:bCs/>
          <w:sz w:val="21"/>
          <w:szCs w:val="21"/>
        </w:rPr>
        <w:t xml:space="preserve"> photocatalysts without external magnetic field (all photocatalysts are used after deposition of 1 wt.% of Au via photo-reduction method), both of which showed good performance toward POWS, giving similar hydrogen evolution rates of around 7000 µmol g</w:t>
      </w:r>
      <w:r>
        <w:rPr>
          <w:rFonts w:ascii="Times New Roman" w:hAnsi="Times New Roman" w:cs="Times New Roman"/>
          <w:bCs/>
          <w:sz w:val="21"/>
          <w:szCs w:val="21"/>
          <w:vertAlign w:val="superscript"/>
        </w:rPr>
        <w:t xml:space="preserve">-1</w:t>
      </w:r>
      <w:r>
        <w:rPr>
          <w:rFonts w:ascii="Times New Roman" w:hAnsi="Times New Roman" w:cs="Times New Roman"/>
          <w:bCs/>
          <w:sz w:val="21"/>
          <w:szCs w:val="21"/>
        </w:rPr>
        <w:t xml:space="preserve"> h</w:t>
      </w:r>
      <w:r>
        <w:rPr>
          <w:rFonts w:ascii="Times New Roman" w:hAnsi="Times New Roman" w:cs="Times New Roman"/>
          <w:bCs/>
          <w:sz w:val="21"/>
          <w:szCs w:val="21"/>
          <w:vertAlign w:val="superscript"/>
        </w:rPr>
        <w:t xml:space="preserve">-1</w:t>
      </w:r>
      <w:r>
        <w:rPr>
          <w:rFonts w:ascii="Times New Roman" w:hAnsi="Times New Roman" w:cs="Times New Roman"/>
          <w:bCs/>
          <w:sz w:val="21"/>
          <w:szCs w:val="21"/>
        </w:rPr>
        <w:t xml:space="preserve"> (</w:t>
      </w:r>
      <w:r>
        <w:rPr>
          <w:rFonts w:ascii="Times New Roman" w:hAnsi="Times New Roman" w:cs="Times New Roman"/>
          <w:bCs/>
          <w:color w:val="FF0000"/>
          <w:sz w:val="21"/>
          <w:szCs w:val="21"/>
        </w:rPr>
        <w:t xml:space="preserve">Supplementary Table 3</w:t>
      </w:r>
      <w:r>
        <w:rPr>
          <w:rFonts w:ascii="Times New Roman" w:hAnsi="Times New Roman" w:cs="Times New Roman"/>
          <w:bCs/>
          <w:sz w:val="21"/>
          <w:szCs w:val="21"/>
        </w:rPr>
        <w:t xml:space="preserve">). The Fe</w:t>
      </w:r>
      <w:r>
        <w:rPr>
          <w:rFonts w:ascii="Times New Roman" w:hAnsi="Times New Roman" w:cs="Times New Roman"/>
          <w:bCs/>
          <w:sz w:val="21"/>
          <w:szCs w:val="21"/>
          <w:vertAlign w:val="subscript"/>
        </w:rPr>
        <w:t xml:space="preserve">3</w:t>
      </w:r>
      <w:r>
        <w:rPr>
          <w:rFonts w:ascii="Times New Roman" w:hAnsi="Times New Roman" w:cs="Times New Roman"/>
          <w:bCs/>
          <w:sz w:val="21"/>
          <w:szCs w:val="21"/>
        </w:rPr>
        <w:t xml:space="preserve">O</w:t>
      </w:r>
      <w:r>
        <w:rPr>
          <w:rFonts w:ascii="Times New Roman" w:hAnsi="Times New Roman" w:cs="Times New Roman"/>
          <w:bCs/>
          <w:sz w:val="21"/>
          <w:szCs w:val="21"/>
          <w:vertAlign w:val="subscript"/>
        </w:rPr>
        <w:t xml:space="preserve">4</w:t>
      </w:r>
      <w:r>
        <w:rPr>
          <w:rFonts w:ascii="Times New Roman" w:hAnsi="Times New Roman" w:cs="Times New Roman"/>
          <w:bCs/>
          <w:sz w:val="21"/>
          <w:szCs w:val="21"/>
        </w:rPr>
        <w:t xml:space="preserve"> NPs and Fe</w:t>
      </w:r>
      <w:r>
        <w:rPr>
          <w:rFonts w:ascii="Times New Roman" w:hAnsi="Times New Roman" w:cs="Times New Roman"/>
          <w:bCs/>
          <w:sz w:val="21"/>
          <w:szCs w:val="21"/>
          <w:vertAlign w:val="subscript"/>
        </w:rPr>
        <w:t xml:space="preserve">3</w:t>
      </w:r>
      <w:r>
        <w:rPr>
          <w:rFonts w:ascii="Times New Roman" w:hAnsi="Times New Roman" w:cs="Times New Roman"/>
          <w:bCs/>
          <w:sz w:val="21"/>
          <w:szCs w:val="21"/>
        </w:rPr>
        <w:t xml:space="preserve">O</w:t>
      </w:r>
      <w:r>
        <w:rPr>
          <w:rFonts w:ascii="Times New Roman" w:hAnsi="Times New Roman" w:cs="Times New Roman"/>
          <w:bCs/>
          <w:sz w:val="21"/>
          <w:szCs w:val="21"/>
          <w:vertAlign w:val="subscript"/>
        </w:rPr>
        <w:t xml:space="preserve">4</w:t>
      </w:r>
      <w:r>
        <w:rPr>
          <w:rFonts w:ascii="Times New Roman" w:hAnsi="Times New Roman" w:cs="Times New Roman"/>
          <w:bCs/>
          <w:sz w:val="21"/>
          <w:szCs w:val="21"/>
        </w:rPr>
        <w:t xml:space="preserve">@</w:t>
      </w:r>
      <w:r>
        <w:rPr>
          <w:rFonts w:ascii="Times New Roman" w:hAnsi="Times New Roman" w:cs="Times New Roman"/>
          <w:bCs/>
          <w:sz w:val="21"/>
          <w:szCs w:val="21"/>
        </w:rPr>
        <w:t xml:space="preserve">SiO</w:t>
      </w:r>
      <w:r>
        <w:rPr>
          <w:rFonts w:ascii="Times New Roman" w:hAnsi="Times New Roman" w:cs="Times New Roman"/>
          <w:bCs/>
          <w:sz w:val="21"/>
          <w:szCs w:val="21"/>
          <w:vertAlign w:val="subscript"/>
        </w:rPr>
        <w:t xml:space="preserve">2</w:t>
      </w:r>
      <w:r>
        <w:rPr>
          <w:rFonts w:ascii="Times New Roman" w:hAnsi="Times New Roman" w:cs="Times New Roman"/>
          <w:bCs/>
          <w:sz w:val="21"/>
          <w:szCs w:val="21"/>
        </w:rPr>
        <w:t xml:space="preserve"> </w:t>
      </w:r>
      <w:r>
        <w:rPr>
          <w:rFonts w:ascii="Times New Roman" w:hAnsi="Times New Roman" w:cs="Times New Roman"/>
          <w:bCs/>
          <w:sz w:val="21"/>
          <w:szCs w:val="21"/>
        </w:rPr>
        <w:t xml:space="preserve">were both tested alone, showing no </w:t>
      </w:r>
      <w:r>
        <w:rPr>
          <w:rFonts w:ascii="Times New Roman" w:hAnsi="Times New Roman" w:cs="Times New Roman"/>
          <w:bCs/>
          <w:sz w:val="21"/>
          <w:szCs w:val="21"/>
        </w:rPr>
        <w:t xml:space="preserve">detectable </w:t>
      </w:r>
      <w:r>
        <w:rPr>
          <w:rFonts w:ascii="Times New Roman" w:hAnsi="Times New Roman" w:cs="Times New Roman"/>
          <w:bCs/>
          <w:sz w:val="21"/>
          <w:szCs w:val="21"/>
        </w:rPr>
        <w:t xml:space="preserve">hydrogen evolution, which indicates the Fe</w:t>
      </w:r>
      <w:r>
        <w:rPr>
          <w:rFonts w:ascii="Times New Roman" w:hAnsi="Times New Roman" w:cs="Times New Roman"/>
          <w:bCs/>
          <w:sz w:val="21"/>
          <w:szCs w:val="21"/>
          <w:vertAlign w:val="subscript"/>
        </w:rPr>
        <w:t xml:space="preserve">3</w:t>
      </w:r>
      <w:r>
        <w:rPr>
          <w:rFonts w:ascii="Times New Roman" w:hAnsi="Times New Roman" w:cs="Times New Roman"/>
          <w:bCs/>
          <w:sz w:val="21"/>
          <w:szCs w:val="21"/>
        </w:rPr>
        <w:t xml:space="preserve">O</w:t>
      </w:r>
      <w:r>
        <w:rPr>
          <w:rFonts w:ascii="Times New Roman" w:hAnsi="Times New Roman" w:cs="Times New Roman"/>
          <w:bCs/>
          <w:sz w:val="21"/>
          <w:szCs w:val="21"/>
          <w:vertAlign w:val="subscript"/>
        </w:rPr>
        <w:t xml:space="preserve">4</w:t>
      </w:r>
      <w:r>
        <w:rPr>
          <w:rFonts w:ascii="Times New Roman" w:hAnsi="Times New Roman" w:cs="Times New Roman"/>
          <w:bCs/>
          <w:sz w:val="21"/>
          <w:szCs w:val="21"/>
        </w:rPr>
        <w:t xml:space="preserve"> has no contri</w:t>
      </w:r>
      <w:r>
        <w:rPr>
          <w:rFonts w:ascii="Times New Roman" w:hAnsi="Times New Roman" w:cs="Times New Roman"/>
          <w:bCs/>
          <w:sz w:val="21"/>
          <w:szCs w:val="21"/>
        </w:rPr>
        <w:t xml:space="preserve">bution to the POWS activity under this condition. Subsequently, to study the MFE on the POWS system, external static magnetic field of 1500 Oe was applied by fixing a permanent magnet near the reactor during the testing. Excitingly, the POWS activity of Fe</w:t>
      </w:r>
      <w:r>
        <w:rPr>
          <w:rFonts w:ascii="Times New Roman" w:hAnsi="Times New Roman" w:cs="Times New Roman"/>
          <w:bCs/>
          <w:sz w:val="21"/>
          <w:szCs w:val="21"/>
          <w:vertAlign w:val="subscript"/>
        </w:rPr>
        <w:t xml:space="preserve">3</w:t>
      </w:r>
      <w:r>
        <w:rPr>
          <w:rFonts w:ascii="Times New Roman" w:hAnsi="Times New Roman" w:cs="Times New Roman"/>
          <w:bCs/>
          <w:sz w:val="21"/>
          <w:szCs w:val="21"/>
        </w:rPr>
        <w:t xml:space="preserve">O</w:t>
      </w:r>
      <w:r>
        <w:rPr>
          <w:rFonts w:ascii="Times New Roman" w:hAnsi="Times New Roman" w:cs="Times New Roman"/>
          <w:bCs/>
          <w:sz w:val="21"/>
          <w:szCs w:val="21"/>
          <w:vertAlign w:val="subscript"/>
        </w:rPr>
        <w:t xml:space="preserve">4</w:t>
      </w:r>
      <w:r>
        <w:rPr>
          <w:rFonts w:ascii="Times New Roman" w:hAnsi="Times New Roman" w:cs="Times New Roman"/>
          <w:bCs/>
          <w:sz w:val="21"/>
          <w:szCs w:val="21"/>
        </w:rPr>
        <w:t xml:space="preserve">/</w:t>
      </w:r>
      <w:r>
        <w:rPr>
          <w:rFonts w:ascii="Times New Roman" w:hAnsi="Times New Roman" w:cs="Times New Roman"/>
          <w:bCs/>
          <w:sz w:val="21"/>
          <w:szCs w:val="21"/>
        </w:rPr>
        <w:t xml:space="preserve">N-TiO</w:t>
      </w:r>
      <w:r>
        <w:rPr>
          <w:rFonts w:ascii="Times New Roman" w:hAnsi="Times New Roman" w:cs="Times New Roman"/>
          <w:bCs/>
          <w:sz w:val="21"/>
          <w:szCs w:val="21"/>
          <w:vertAlign w:val="subscript"/>
        </w:rPr>
        <w:t xml:space="preserve">2</w:t>
      </w:r>
      <w:r>
        <w:rPr>
          <w:rFonts w:ascii="Times New Roman" w:hAnsi="Times New Roman" w:cs="Times New Roman"/>
          <w:bCs/>
          <w:sz w:val="21"/>
          <w:szCs w:val="21"/>
        </w:rPr>
        <w:t xml:space="preserve">-</w:t>
      </w:r>
      <w:r>
        <w:rPr>
          <w:rFonts w:ascii="Times New Roman" w:hAnsi="Times New Roman" w:cs="Times New Roman"/>
          <w:bCs/>
          <w:sz w:val="21"/>
          <w:szCs w:val="21"/>
        </w:rPr>
        <w:t xml:space="preserve">2</w:t>
      </w:r>
      <w:r>
        <w:rPr>
          <w:rFonts w:ascii="Times New Roman" w:hAnsi="Times New Roman" w:cs="Times New Roman"/>
          <w:bCs/>
          <w:sz w:val="21"/>
          <w:szCs w:val="21"/>
        </w:rPr>
        <w:t xml:space="preserve"> increase</w:t>
      </w:r>
      <w:r>
        <w:rPr>
          <w:rFonts w:ascii="Times New Roman" w:hAnsi="Times New Roman" w:cs="Times New Roman"/>
          <w:bCs/>
          <w:sz w:val="21"/>
          <w:szCs w:val="21"/>
        </w:rPr>
        <w:t xml:space="preserve">d</w:t>
      </w:r>
      <w:r>
        <w:rPr>
          <w:rFonts w:ascii="Times New Roman" w:hAnsi="Times New Roman" w:cs="Times New Roman"/>
          <w:bCs/>
          <w:sz w:val="21"/>
          <w:szCs w:val="21"/>
        </w:rPr>
        <w:t xml:space="preserve"> to 12</w:t>
      </w:r>
      <w:r>
        <w:rPr>
          <w:rFonts w:ascii="Times New Roman" w:hAnsi="Times New Roman" w:cs="Times New Roman"/>
          <w:bCs/>
          <w:sz w:val="21"/>
          <w:szCs w:val="21"/>
        </w:rPr>
        <w:t xml:space="preserve">,</w:t>
      </w:r>
      <w:r>
        <w:rPr>
          <w:rFonts w:ascii="Times New Roman" w:hAnsi="Times New Roman" w:cs="Times New Roman"/>
          <w:bCs/>
          <w:sz w:val="21"/>
          <w:szCs w:val="21"/>
        </w:rPr>
        <w:t xml:space="preserve">210 µmol g</w:t>
      </w:r>
      <w:r>
        <w:rPr>
          <w:rFonts w:ascii="Times New Roman" w:hAnsi="Times New Roman" w:cs="Times New Roman"/>
          <w:bCs/>
          <w:sz w:val="21"/>
          <w:szCs w:val="21"/>
          <w:vertAlign w:val="superscript"/>
        </w:rPr>
        <w:t xml:space="preserve">-1</w:t>
      </w:r>
      <w:r>
        <w:rPr>
          <w:rFonts w:ascii="Times New Roman" w:hAnsi="Times New Roman" w:cs="Times New Roman"/>
          <w:bCs/>
          <w:sz w:val="21"/>
          <w:szCs w:val="21"/>
        </w:rPr>
        <w:t xml:space="preserve"> h</w:t>
      </w:r>
      <w:r>
        <w:rPr>
          <w:rFonts w:ascii="Times New Roman" w:hAnsi="Times New Roman" w:cs="Times New Roman"/>
          <w:bCs/>
          <w:sz w:val="21"/>
          <w:szCs w:val="21"/>
          <w:vertAlign w:val="superscript"/>
        </w:rPr>
        <w:t xml:space="preserve">-1</w:t>
      </w:r>
      <w:r>
        <w:rPr>
          <w:rFonts w:ascii="Times New Roman" w:hAnsi="Times New Roman" w:cs="Times New Roman"/>
          <w:bCs/>
          <w:sz w:val="21"/>
          <w:szCs w:val="21"/>
        </w:rPr>
        <w:t xml:space="preserve">, showing 76% </w:t>
      </w:r>
      <w:r>
        <w:rPr>
          <w:rFonts w:ascii="Times New Roman" w:hAnsi="Times New Roman" w:cs="Times New Roman"/>
          <w:bCs/>
          <w:sz w:val="21"/>
          <w:szCs w:val="21"/>
        </w:rPr>
        <w:t xml:space="preserve">of </w:t>
      </w:r>
      <w:r>
        <w:rPr>
          <w:rFonts w:ascii="Times New Roman" w:hAnsi="Times New Roman" w:cs="Times New Roman"/>
          <w:bCs/>
          <w:sz w:val="21"/>
          <w:szCs w:val="21"/>
        </w:rPr>
        <w:t xml:space="preserve">enhancement</w:t>
      </w:r>
      <w:r>
        <w:rPr>
          <w:rFonts w:ascii="Times New Roman" w:hAnsi="Times New Roman" w:cs="Times New Roman" w:hint="eastAsia"/>
          <w:bCs/>
          <w:sz w:val="21"/>
          <w:szCs w:val="21"/>
        </w:rPr>
        <w:t xml:space="preserve">.</w:t>
      </w:r>
      <w:r>
        <w:rPr>
          <w:rFonts w:ascii="Times New Roman" w:hAnsi="Times New Roman" w:cs="Times New Roman"/>
          <w:bCs/>
          <w:sz w:val="21"/>
          <w:szCs w:val="21"/>
        </w:rPr>
        <w:t xml:space="preserve">  </w:t>
      </w:r>
      <w:r>
        <w:rPr>
          <w:rFonts w:ascii="Times New Roman" w:hAnsi="Times New Roman" w:cs="Times New Roman"/>
          <w:bCs/>
          <w:sz w:val="21"/>
          <w:szCs w:val="21"/>
        </w:rPr>
        <w:t xml:space="preserve">On the contrary, the</w:t>
      </w:r>
      <w:r>
        <w:rPr>
          <w:rFonts w:ascii="Times New Roman" w:hAnsi="Times New Roman" w:cs="Times New Roman"/>
          <w:bCs/>
          <w:sz w:val="21"/>
          <w:szCs w:val="21"/>
        </w:rPr>
        <w:t xml:space="preserve"> photocatalytic activity</w:t>
      </w:r>
      <w:r>
        <w:rPr>
          <w:rFonts w:ascii="Times New Roman" w:hAnsi="Times New Roman" w:cs="Times New Roman" w:hint="eastAsia"/>
          <w:bCs/>
          <w:sz w:val="21"/>
          <w:szCs w:val="21"/>
        </w:rPr>
        <w:t xml:space="preserve"> of the</w:t>
      </w:r>
      <w:r>
        <w:rPr>
          <w:rFonts w:ascii="Times New Roman" w:hAnsi="Times New Roman" w:cs="Times New Roman"/>
          <w:bCs/>
          <w:sz w:val="21"/>
          <w:szCs w:val="21"/>
        </w:rPr>
        <w:t xml:space="preserve"> </w:t>
      </w:r>
      <w:r>
        <w:rPr>
          <w:rFonts w:ascii="Times New Roman" w:hAnsi="Times New Roman" w:cs="Times New Roman"/>
          <w:bCs/>
          <w:sz w:val="21"/>
          <w:szCs w:val="21"/>
        </w:rPr>
        <w:t xml:space="preserve">N-TiO</w:t>
      </w:r>
      <w:r>
        <w:rPr>
          <w:rFonts w:ascii="Times New Roman" w:hAnsi="Times New Roman" w:cs="Times New Roman"/>
          <w:bCs/>
          <w:sz w:val="21"/>
          <w:szCs w:val="21"/>
          <w:vertAlign w:val="subscript"/>
        </w:rPr>
        <w:t xml:space="preserve">2</w:t>
      </w:r>
      <w:r>
        <w:rPr>
          <w:rFonts w:ascii="Times New Roman" w:hAnsi="Times New Roman" w:cs="Times New Roman" w:hint="eastAsia"/>
          <w:bCs/>
          <w:sz w:val="21"/>
          <w:szCs w:val="21"/>
        </w:rPr>
        <w:t xml:space="preserve"> </w:t>
      </w:r>
      <w:r>
        <w:rPr>
          <w:rFonts w:ascii="Times New Roman" w:hAnsi="Times New Roman" w:cs="Times New Roman"/>
          <w:bCs/>
          <w:sz w:val="21"/>
          <w:szCs w:val="21"/>
        </w:rPr>
        <w:t xml:space="preserve">remains almost </w:t>
      </w:r>
      <w:r>
        <w:rPr>
          <w:rFonts w:ascii="Times New Roman" w:hAnsi="Times New Roman" w:cs="Times New Roman"/>
          <w:bCs/>
          <w:sz w:val="21"/>
          <w:szCs w:val="21"/>
        </w:rPr>
        <w:t xml:space="preserve">the same. </w:t>
      </w:r>
      <w:r>
        <w:rPr>
          <w:rFonts w:ascii="Times New Roman" w:hAnsi="Times New Roman" w:cs="Times New Roman"/>
          <w:bCs/>
          <w:sz w:val="21"/>
          <w:szCs w:val="21"/>
        </w:rPr>
        <w:t xml:space="preserve">The lack of detectable change </w:t>
      </w:r>
      <w:r>
        <w:rPr>
          <w:rFonts w:ascii="Times New Roman" w:hAnsi="Times New Roman" w:cs="Times New Roman"/>
          <w:bCs/>
          <w:sz w:val="21"/>
          <w:szCs w:val="21"/>
        </w:rPr>
        <w:t xml:space="preserve">of</w:t>
      </w:r>
      <w:r>
        <w:rPr>
          <w:rFonts w:ascii="Times New Roman" w:hAnsi="Times New Roman" w:cs="Times New Roman"/>
          <w:bCs/>
          <w:sz w:val="21"/>
          <w:szCs w:val="21"/>
        </w:rPr>
        <w:t xml:space="preserve"> N-TiO</w:t>
      </w:r>
      <w:r>
        <w:rPr>
          <w:rFonts w:ascii="Times New Roman" w:hAnsi="Times New Roman" w:cs="Times New Roman"/>
          <w:bCs/>
          <w:sz w:val="21"/>
          <w:szCs w:val="21"/>
          <w:vertAlign w:val="subscript"/>
        </w:rPr>
        <w:t xml:space="preserve">2</w:t>
      </w:r>
      <w:r>
        <w:rPr>
          <w:rFonts w:ascii="Times New Roman" w:hAnsi="Times New Roman" w:cs="Times New Roman" w:hint="eastAsia"/>
          <w:bCs/>
          <w:sz w:val="21"/>
          <w:szCs w:val="21"/>
        </w:rPr>
        <w:t xml:space="preserve"> </w:t>
      </w:r>
      <w:r>
        <w:rPr>
          <w:rFonts w:ascii="Times New Roman" w:hAnsi="Times New Roman" w:cs="Times New Roman"/>
          <w:bCs/>
          <w:sz w:val="21"/>
          <w:szCs w:val="21"/>
        </w:rPr>
        <w:t xml:space="preserve">in response to </w:t>
      </w:r>
      <w:r>
        <w:rPr>
          <w:rFonts w:ascii="Times New Roman" w:hAnsi="Times New Roman" w:cs="Times New Roman"/>
          <w:bCs/>
          <w:sz w:val="21"/>
          <w:szCs w:val="21"/>
        </w:rPr>
        <w:t xml:space="preserve">external magnetic field indicate</w:t>
      </w:r>
      <w:r>
        <w:rPr>
          <w:rFonts w:ascii="Times New Roman" w:hAnsi="Times New Roman" w:cs="Times New Roman"/>
          <w:bCs/>
          <w:sz w:val="21"/>
          <w:szCs w:val="21"/>
        </w:rPr>
        <w:t xml:space="preserve">s</w:t>
      </w:r>
      <w:r>
        <w:rPr>
          <w:rFonts w:ascii="Times New Roman" w:hAnsi="Times New Roman" w:cs="Times New Roman"/>
          <w:bCs/>
          <w:sz w:val="21"/>
          <w:szCs w:val="21"/>
        </w:rPr>
        <w:t xml:space="preserve"> its weak </w:t>
      </w:r>
      <w:r>
        <w:rPr>
          <w:rFonts w:ascii="Times New Roman" w:hAnsi="Times New Roman" w:cs="Times New Roman"/>
          <w:bCs/>
          <w:sz w:val="21"/>
          <w:szCs w:val="21"/>
        </w:rPr>
        <w:t xml:space="preserve">local </w:t>
      </w:r>
      <w:r>
        <w:rPr>
          <w:rFonts w:ascii="Times New Roman" w:hAnsi="Times New Roman" w:cs="Times New Roman"/>
          <w:bCs/>
          <w:sz w:val="21"/>
          <w:szCs w:val="21"/>
        </w:rPr>
        <w:t xml:space="preserve">field flux density</w:t>
      </w:r>
      <w:r>
        <w:rPr>
          <w:rFonts w:ascii="Times New Roman" w:hAnsi="Times New Roman" w:cs="Times New Roman"/>
          <w:bCs/>
          <w:sz w:val="21"/>
          <w:szCs w:val="21"/>
        </w:rPr>
        <w:t xml:space="preserve">,</w:t>
      </w:r>
      <w:r>
        <w:rPr>
          <w:rFonts w:ascii="Times New Roman" w:hAnsi="Times New Roman" w:cs="Times New Roman"/>
          <w:bCs/>
          <w:sz w:val="21"/>
          <w:szCs w:val="21"/>
        </w:rPr>
        <w:t xml:space="preserve"> whereas superparamagnetic Fe</w:t>
      </w:r>
      <w:r>
        <w:rPr>
          <w:rFonts w:ascii="Times New Roman" w:hAnsi="Times New Roman" w:cs="Times New Roman"/>
          <w:bCs/>
          <w:sz w:val="21"/>
          <w:szCs w:val="21"/>
          <w:vertAlign w:val="subscript"/>
        </w:rPr>
        <w:t xml:space="preserve">3</w:t>
      </w:r>
      <w:r>
        <w:rPr>
          <w:rFonts w:ascii="Times New Roman" w:hAnsi="Times New Roman" w:cs="Times New Roman"/>
          <w:bCs/>
          <w:sz w:val="21"/>
          <w:szCs w:val="21"/>
        </w:rPr>
        <w:t xml:space="preserve">O</w:t>
      </w:r>
      <w:r>
        <w:rPr>
          <w:rFonts w:ascii="Times New Roman" w:hAnsi="Times New Roman" w:cs="Times New Roman"/>
          <w:bCs/>
          <w:sz w:val="21"/>
          <w:szCs w:val="21"/>
          <w:vertAlign w:val="subscript"/>
        </w:rPr>
        <w:t xml:space="preserve">4</w:t>
      </w:r>
      <w:r>
        <w:rPr>
          <w:rFonts w:ascii="Times New Roman" w:hAnsi="Times New Roman" w:cs="Times New Roman" w:hint="eastAsia"/>
          <w:bCs/>
          <w:sz w:val="21"/>
          <w:szCs w:val="21"/>
        </w:rPr>
        <w:t xml:space="preserve"> </w:t>
      </w:r>
      <w:r>
        <w:rPr>
          <w:rFonts w:ascii="Times New Roman" w:hAnsi="Times New Roman" w:cs="Times New Roman"/>
          <w:bCs/>
          <w:sz w:val="21"/>
          <w:szCs w:val="21"/>
        </w:rPr>
        <w:t xml:space="preserve">nanoparticles can generate much stronger local field flux</w:t>
      </w:r>
      <w:r>
        <w:rPr>
          <w:rFonts w:ascii="Times New Roman" w:hAnsi="Times New Roman" w:cs="Times New Roman" w:hint="eastAsia"/>
          <w:bCs/>
          <w:sz w:val="21"/>
          <w:szCs w:val="21"/>
        </w:rPr>
        <w:t xml:space="preserve"> after </w:t>
      </w:r>
      <w:r>
        <w:rPr>
          <w:rFonts w:ascii="Times New Roman" w:hAnsi="Times New Roman" w:cs="Times New Roman"/>
          <w:bCs/>
          <w:sz w:val="21"/>
          <w:szCs w:val="21"/>
        </w:rPr>
        <w:t xml:space="preserve">magnetis</w:t>
      </w:r>
      <w:r>
        <w:rPr>
          <w:rFonts w:ascii="Times New Roman" w:hAnsi="Times New Roman" w:cs="Times New Roman"/>
          <w:bCs/>
          <w:sz w:val="21"/>
          <w:szCs w:val="21"/>
        </w:rPr>
        <w:t xml:space="preserve">ation</w:t>
      </w:r>
      <w:r>
        <w:rPr>
          <w:rFonts w:ascii="Times New Roman" w:hAnsi="Times New Roman" w:cs="Times New Roman"/>
          <w:bCs/>
          <w:sz w:val="21"/>
          <w:szCs w:val="21"/>
        </w:rPr>
        <w:t xml:space="preserve">. </w:t>
      </w:r>
      <w:r/>
    </w:p>
    <w:p>
      <w:pPr>
        <w:jc w:val="both"/>
        <w:spacing w:lineRule="exact" w:line="400" w:after="156"/>
        <w:rPr>
          <w:rFonts w:ascii="Times New Roman" w:hAnsi="Times New Roman" w:cs="Times New Roman"/>
          <w:bCs/>
          <w:sz w:val="21"/>
          <w:szCs w:val="21"/>
        </w:rPr>
      </w:pPr>
      <w:r>
        <w:rPr>
          <w:rFonts w:ascii="Times New Roman" w:hAnsi="Times New Roman" w:cs="Times New Roman"/>
          <w:bCs/>
          <w:sz w:val="21"/>
          <w:szCs w:val="21"/>
        </w:rPr>
        <w:t xml:space="preserve">T</w:t>
      </w:r>
      <w:r>
        <w:rPr>
          <w:rFonts w:ascii="Times New Roman" w:hAnsi="Times New Roman" w:cs="Times New Roman"/>
          <w:bCs/>
          <w:sz w:val="21"/>
          <w:szCs w:val="21"/>
        </w:rPr>
        <w:t xml:space="preserve">he </w:t>
      </w:r>
      <w:r>
        <w:rPr>
          <w:rFonts w:ascii="Times New Roman" w:hAnsi="Times New Roman" w:cs="Times New Roman" w:hint="eastAsia"/>
          <w:bCs/>
          <w:sz w:val="21"/>
          <w:szCs w:val="21"/>
        </w:rPr>
        <w:t xml:space="preserve">M-H</w:t>
      </w:r>
      <w:r>
        <w:rPr>
          <w:rFonts w:ascii="Times New Roman" w:hAnsi="Times New Roman" w:cs="Times New Roman"/>
          <w:bCs/>
          <w:sz w:val="21"/>
          <w:szCs w:val="21"/>
        </w:rPr>
        <w:t xml:space="preserve"> curve</w:t>
      </w:r>
      <w:r>
        <w:rPr>
          <w:rFonts w:ascii="Times New Roman" w:hAnsi="Times New Roman" w:cs="Times New Roman" w:hint="eastAsia"/>
          <w:bCs/>
          <w:sz w:val="21"/>
          <w:szCs w:val="21"/>
        </w:rPr>
        <w:t xml:space="preserve"> of the</w:t>
      </w:r>
      <w:r>
        <w:rPr>
          <w:rFonts w:ascii="Times New Roman" w:hAnsi="Times New Roman" w:cs="Times New Roman"/>
          <w:bCs/>
          <w:sz w:val="21"/>
          <w:szCs w:val="21"/>
        </w:rPr>
        <w:t xml:space="preserve"> </w:t>
      </w:r>
      <w:r>
        <w:rPr>
          <w:rFonts w:ascii="Times New Roman" w:hAnsi="Times New Roman" w:cs="Times New Roman"/>
          <w:bCs/>
          <w:sz w:val="21"/>
          <w:szCs w:val="21"/>
        </w:rPr>
        <w:t xml:space="preserve">Fe</w:t>
      </w:r>
      <w:r>
        <w:rPr>
          <w:rFonts w:ascii="Times New Roman" w:hAnsi="Times New Roman" w:cs="Times New Roman"/>
          <w:bCs/>
          <w:sz w:val="21"/>
          <w:szCs w:val="21"/>
          <w:vertAlign w:val="subscript"/>
        </w:rPr>
        <w:t xml:space="preserve">3</w:t>
      </w:r>
      <w:r>
        <w:rPr>
          <w:rFonts w:ascii="Times New Roman" w:hAnsi="Times New Roman" w:cs="Times New Roman"/>
          <w:bCs/>
          <w:sz w:val="21"/>
          <w:szCs w:val="21"/>
        </w:rPr>
        <w:t xml:space="preserve">O</w:t>
      </w:r>
      <w:r>
        <w:rPr>
          <w:rFonts w:ascii="Times New Roman" w:hAnsi="Times New Roman" w:cs="Times New Roman"/>
          <w:bCs/>
          <w:sz w:val="21"/>
          <w:szCs w:val="21"/>
          <w:vertAlign w:val="subscript"/>
        </w:rPr>
        <w:t xml:space="preserve">4</w:t>
      </w:r>
      <w:r>
        <w:rPr>
          <w:rFonts w:ascii="Times New Roman" w:hAnsi="Times New Roman" w:cs="Times New Roman"/>
          <w:bCs/>
          <w:sz w:val="21"/>
          <w:szCs w:val="21"/>
        </w:rPr>
        <w:t xml:space="preserve">/</w:t>
      </w:r>
      <w:r>
        <w:rPr>
          <w:rFonts w:ascii="Times New Roman" w:hAnsi="Times New Roman" w:cs="Times New Roman"/>
          <w:bCs/>
          <w:sz w:val="21"/>
          <w:szCs w:val="21"/>
        </w:rPr>
        <w:t xml:space="preserve">N-TiO</w:t>
      </w:r>
      <w:r>
        <w:rPr>
          <w:rFonts w:ascii="Times New Roman" w:hAnsi="Times New Roman" w:cs="Times New Roman"/>
          <w:bCs/>
          <w:sz w:val="21"/>
          <w:szCs w:val="21"/>
          <w:vertAlign w:val="subscript"/>
        </w:rPr>
        <w:t xml:space="preserve">2</w:t>
      </w:r>
      <w:r>
        <w:rPr>
          <w:rFonts w:ascii="Times New Roman" w:hAnsi="Times New Roman" w:cs="Times New Roman"/>
          <w:bCs/>
          <w:sz w:val="21"/>
          <w:szCs w:val="21"/>
        </w:rPr>
        <w:t xml:space="preserve">-</w:t>
      </w:r>
      <w:r>
        <w:rPr>
          <w:rFonts w:ascii="Times New Roman" w:hAnsi="Times New Roman" w:cs="Times New Roman"/>
          <w:bCs/>
          <w:sz w:val="21"/>
          <w:szCs w:val="21"/>
        </w:rPr>
        <w:t xml:space="preserve">2</w:t>
      </w:r>
      <w:r>
        <w:rPr>
          <w:rFonts w:ascii="Times New Roman" w:hAnsi="Times New Roman" w:cs="Times New Roman"/>
          <w:bCs/>
          <w:sz w:val="21"/>
          <w:szCs w:val="21"/>
        </w:rPr>
        <w:t xml:space="preserve"> </w:t>
      </w:r>
      <w:r>
        <w:rPr>
          <w:rFonts w:ascii="Times New Roman" w:hAnsi="Times New Roman" w:cs="Times New Roman" w:hint="eastAsia"/>
          <w:bCs/>
          <w:sz w:val="21"/>
          <w:szCs w:val="21"/>
        </w:rPr>
        <w:t xml:space="preserve">in </w:t>
      </w:r>
      <w:r>
        <w:rPr>
          <w:rFonts w:ascii="Times New Roman" w:hAnsi="Times New Roman" w:cs="Times New Roman" w:hint="eastAsia"/>
          <w:bCs/>
          <w:color w:val="FF0000"/>
          <w:sz w:val="21"/>
          <w:szCs w:val="21"/>
        </w:rPr>
        <w:t xml:space="preserve">Fig. </w:t>
      </w:r>
      <w:r>
        <w:rPr>
          <w:rFonts w:ascii="Times New Roman" w:hAnsi="Times New Roman" w:cs="Times New Roman"/>
          <w:bCs/>
          <w:color w:val="FF0000"/>
          <w:sz w:val="21"/>
          <w:szCs w:val="21"/>
        </w:rPr>
        <w:t xml:space="preserve">1g</w:t>
      </w:r>
      <w:r>
        <w:rPr>
          <w:rFonts w:ascii="Times New Roman" w:hAnsi="Times New Roman" w:cs="Times New Roman" w:hint="eastAsia"/>
          <w:bCs/>
          <w:sz w:val="21"/>
          <w:szCs w:val="21"/>
        </w:rPr>
        <w:t xml:space="preserve"> </w:t>
      </w:r>
      <w:r>
        <w:rPr>
          <w:rFonts w:ascii="Times New Roman" w:hAnsi="Times New Roman" w:cs="Times New Roman" w:hint="eastAsia"/>
          <w:bCs/>
          <w:sz w:val="21"/>
          <w:szCs w:val="21"/>
        </w:rPr>
        <w:t xml:space="preserve">exhibit</w:t>
      </w:r>
      <w:r>
        <w:rPr>
          <w:rFonts w:ascii="Times New Roman" w:hAnsi="Times New Roman" w:cs="Times New Roman"/>
          <w:bCs/>
          <w:sz w:val="21"/>
          <w:szCs w:val="21"/>
        </w:rPr>
        <w:t xml:space="preserve">ed</w:t>
      </w:r>
      <w:r>
        <w:rPr>
          <w:rFonts w:ascii="Times New Roman" w:hAnsi="Times New Roman" w:cs="Times New Roman"/>
          <w:bCs/>
          <w:sz w:val="21"/>
          <w:szCs w:val="21"/>
        </w:rPr>
        <w:t xml:space="preserve"> superparamagnetic nature, in which case a strong local magnetic field c</w:t>
      </w:r>
      <w:r>
        <w:rPr>
          <w:rFonts w:ascii="Times New Roman" w:hAnsi="Times New Roman" w:cs="Times New Roman"/>
          <w:bCs/>
          <w:sz w:val="21"/>
          <w:szCs w:val="21"/>
        </w:rPr>
        <w:t xml:space="preserve">ould</w:t>
      </w:r>
      <w:r>
        <w:rPr>
          <w:rFonts w:ascii="Times New Roman" w:hAnsi="Times New Roman" w:cs="Times New Roman"/>
          <w:bCs/>
          <w:sz w:val="21"/>
          <w:szCs w:val="21"/>
        </w:rPr>
        <w:t xml:space="preserve"> clearly be induced by the external field, while no </w:t>
      </w:r>
      <w:r>
        <w:rPr>
          <w:rFonts w:ascii="Times New Roman" w:hAnsi="Times New Roman" w:cs="Times New Roman"/>
          <w:bCs/>
          <w:sz w:val="21"/>
          <w:szCs w:val="21"/>
        </w:rPr>
        <w:t xml:space="preserve">obvious </w:t>
      </w:r>
      <w:r>
        <w:rPr>
          <w:rFonts w:ascii="Times New Roman" w:hAnsi="Times New Roman" w:cs="Times New Roman"/>
          <w:bCs/>
          <w:sz w:val="21"/>
          <w:szCs w:val="21"/>
        </w:rPr>
        <w:t xml:space="preserve">induced </w:t>
      </w:r>
      <w:r>
        <w:rPr>
          <w:rFonts w:ascii="Times New Roman" w:hAnsi="Times New Roman" w:cs="Times New Roman"/>
          <w:bCs/>
          <w:sz w:val="21"/>
          <w:szCs w:val="21"/>
        </w:rPr>
        <w:t xml:space="preserve">magnetis</w:t>
      </w:r>
      <w:r>
        <w:rPr>
          <w:rFonts w:ascii="Times New Roman" w:hAnsi="Times New Roman" w:cs="Times New Roman"/>
          <w:bCs/>
          <w:sz w:val="21"/>
          <w:szCs w:val="21"/>
        </w:rPr>
        <w:t xml:space="preserve">ation was </w:t>
      </w:r>
      <w:r>
        <w:rPr>
          <w:rFonts w:ascii="Times New Roman" w:hAnsi="Times New Roman" w:cs="Times New Roman"/>
          <w:bCs/>
          <w:sz w:val="21"/>
          <w:szCs w:val="21"/>
        </w:rPr>
        <w:t xml:space="preserve">detecte</w:t>
      </w:r>
      <w:r>
        <w:rPr>
          <w:rFonts w:ascii="Times New Roman" w:hAnsi="Times New Roman" w:cs="Times New Roman"/>
          <w:bCs/>
          <w:sz w:val="21"/>
          <w:szCs w:val="21"/>
        </w:rPr>
        <w:t xml:space="preserve">d over N-TiO</w:t>
      </w:r>
      <w:r>
        <w:rPr>
          <w:rFonts w:ascii="Times New Roman" w:hAnsi="Times New Roman" w:cs="Times New Roman"/>
          <w:bCs/>
          <w:sz w:val="21"/>
          <w:szCs w:val="21"/>
          <w:vertAlign w:val="subscript"/>
        </w:rPr>
        <w:t xml:space="preserve">2</w:t>
      </w:r>
      <w:r>
        <w:rPr>
          <w:rFonts w:ascii="Times New Roman" w:hAnsi="Times New Roman" w:cs="Times New Roman"/>
          <w:bCs/>
          <w:sz w:val="21"/>
          <w:szCs w:val="21"/>
        </w:rPr>
        <w:t xml:space="preserve">. The </w:t>
      </w:r>
      <w:r>
        <w:rPr>
          <w:rFonts w:ascii="Times New Roman" w:hAnsi="Times New Roman" w:cs="Times New Roman"/>
          <w:bCs/>
          <w:sz w:val="21"/>
          <w:szCs w:val="21"/>
        </w:rPr>
        <w:t xml:space="preserve">influence </w:t>
      </w:r>
      <w:r>
        <w:rPr>
          <w:rFonts w:ascii="Times New Roman" w:hAnsi="Times New Roman" w:cs="Times New Roman"/>
          <w:bCs/>
          <w:sz w:val="21"/>
          <w:szCs w:val="21"/>
        </w:rPr>
        <w:t xml:space="preserve">of electron transfer between N-TiO</w:t>
      </w:r>
      <w:r>
        <w:rPr>
          <w:rFonts w:ascii="Times New Roman" w:hAnsi="Times New Roman" w:cs="Times New Roman"/>
          <w:bCs/>
          <w:sz w:val="21"/>
          <w:szCs w:val="21"/>
          <w:vertAlign w:val="subscript"/>
        </w:rPr>
        <w:t xml:space="preserve">2</w:t>
      </w:r>
      <w:r>
        <w:rPr>
          <w:rFonts w:ascii="Times New Roman" w:hAnsi="Times New Roman" w:cs="Times New Roman"/>
          <w:bCs/>
          <w:sz w:val="21"/>
          <w:szCs w:val="21"/>
        </w:rPr>
        <w:t xml:space="preserve"> </w:t>
      </w:r>
      <w:r>
        <w:rPr>
          <w:rFonts w:ascii="Times New Roman" w:hAnsi="Times New Roman" w:cs="Times New Roman"/>
          <w:bCs/>
          <w:sz w:val="21"/>
          <w:szCs w:val="21"/>
        </w:rPr>
        <w:t xml:space="preserve">and Fe</w:t>
      </w:r>
      <w:r>
        <w:rPr>
          <w:rFonts w:ascii="Times New Roman" w:hAnsi="Times New Roman" w:cs="Times New Roman"/>
          <w:bCs/>
          <w:sz w:val="21"/>
          <w:szCs w:val="21"/>
          <w:vertAlign w:val="subscript"/>
        </w:rPr>
        <w:t xml:space="preserve">3</w:t>
      </w:r>
      <w:r>
        <w:rPr>
          <w:rFonts w:ascii="Times New Roman" w:hAnsi="Times New Roman" w:cs="Times New Roman"/>
          <w:bCs/>
          <w:sz w:val="21"/>
          <w:szCs w:val="21"/>
        </w:rPr>
        <w:t xml:space="preserve">O</w:t>
      </w:r>
      <w:r>
        <w:rPr>
          <w:rFonts w:ascii="Times New Roman" w:hAnsi="Times New Roman" w:cs="Times New Roman"/>
          <w:bCs/>
          <w:sz w:val="21"/>
          <w:szCs w:val="21"/>
          <w:vertAlign w:val="subscript"/>
        </w:rPr>
        <w:t xml:space="preserve">4</w:t>
      </w:r>
      <w:r>
        <w:rPr>
          <w:rFonts w:ascii="Times New Roman" w:hAnsi="Times New Roman" w:cs="Times New Roman"/>
          <w:bCs/>
          <w:sz w:val="21"/>
          <w:szCs w:val="21"/>
        </w:rPr>
        <w:t xml:space="preserve"> </w:t>
      </w:r>
      <w:r>
        <w:rPr>
          <w:rFonts w:ascii="Times New Roman" w:hAnsi="Times New Roman" w:cs="Times New Roman"/>
          <w:bCs/>
          <w:sz w:val="21"/>
          <w:szCs w:val="21"/>
        </w:rPr>
        <w:t xml:space="preserve">NPs was excluded by introducing a</w:t>
      </w:r>
      <w:r>
        <w:rPr>
          <w:rFonts w:ascii="Times New Roman" w:hAnsi="Times New Roman" w:cs="Times New Roman"/>
          <w:bCs/>
          <w:sz w:val="21"/>
          <w:szCs w:val="21"/>
        </w:rPr>
        <w:t xml:space="preserve">n</w:t>
      </w:r>
      <w:r>
        <w:rPr>
          <w:rFonts w:ascii="Times New Roman" w:hAnsi="Times New Roman" w:cs="Times New Roman"/>
          <w:bCs/>
          <w:sz w:val="21"/>
          <w:szCs w:val="21"/>
        </w:rPr>
        <w:t xml:space="preserve"> </w:t>
      </w:r>
      <w:r>
        <w:rPr>
          <w:rFonts w:ascii="Times New Roman" w:hAnsi="Times New Roman" w:cs="Times New Roman"/>
          <w:bCs/>
          <w:sz w:val="21"/>
          <w:szCs w:val="21"/>
        </w:rPr>
        <w:t xml:space="preserve">insulated </w:t>
      </w:r>
      <w:r>
        <w:rPr>
          <w:rFonts w:ascii="Times New Roman" w:hAnsi="Times New Roman" w:cs="Times New Roman"/>
          <w:bCs/>
          <w:sz w:val="21"/>
          <w:szCs w:val="21"/>
        </w:rPr>
        <w:t xml:space="preserve">silica layer in between (Fe</w:t>
      </w:r>
      <w:r>
        <w:rPr>
          <w:rFonts w:ascii="Times New Roman" w:hAnsi="Times New Roman" w:cs="Times New Roman"/>
          <w:bCs/>
          <w:sz w:val="21"/>
          <w:szCs w:val="21"/>
          <w:vertAlign w:val="subscript"/>
        </w:rPr>
        <w:t xml:space="preserve">3</w:t>
      </w:r>
      <w:r>
        <w:rPr>
          <w:rFonts w:ascii="Times New Roman" w:hAnsi="Times New Roman" w:cs="Times New Roman"/>
          <w:bCs/>
          <w:sz w:val="21"/>
          <w:szCs w:val="21"/>
        </w:rPr>
        <w:t xml:space="preserve">O</w:t>
      </w:r>
      <w:r>
        <w:rPr>
          <w:rFonts w:ascii="Times New Roman" w:hAnsi="Times New Roman" w:cs="Times New Roman"/>
          <w:bCs/>
          <w:sz w:val="21"/>
          <w:szCs w:val="21"/>
          <w:vertAlign w:val="subscript"/>
        </w:rPr>
        <w:t xml:space="preserve">4</w:t>
      </w:r>
      <w:r>
        <w:rPr>
          <w:rFonts w:ascii="Times New Roman" w:hAnsi="Times New Roman" w:cs="Times New Roman"/>
          <w:bCs/>
          <w:sz w:val="21"/>
          <w:szCs w:val="21"/>
        </w:rPr>
        <w:t xml:space="preserve">@</w:t>
      </w:r>
      <w:r>
        <w:rPr>
          <w:rFonts w:ascii="Times New Roman" w:hAnsi="Times New Roman" w:cs="Times New Roman"/>
          <w:bCs/>
          <w:sz w:val="21"/>
          <w:szCs w:val="21"/>
        </w:rPr>
        <w:t xml:space="preserve">SiO</w:t>
      </w:r>
      <w:r>
        <w:rPr>
          <w:rFonts w:ascii="Times New Roman" w:hAnsi="Times New Roman" w:cs="Times New Roman"/>
          <w:bCs/>
          <w:sz w:val="21"/>
          <w:szCs w:val="21"/>
          <w:vertAlign w:val="subscript"/>
        </w:rPr>
        <w:t xml:space="preserve">2</w:t>
      </w:r>
      <w:r>
        <w:rPr>
          <w:rFonts w:ascii="Times New Roman" w:hAnsi="Times New Roman" w:cs="Times New Roman"/>
          <w:bCs/>
          <w:sz w:val="21"/>
          <w:szCs w:val="21"/>
        </w:rPr>
        <w:t xml:space="preserve">/</w:t>
      </w:r>
      <w:r>
        <w:rPr>
          <w:rFonts w:ascii="Times New Roman" w:hAnsi="Times New Roman" w:cs="Times New Roman"/>
          <w:bCs/>
          <w:sz w:val="21"/>
          <w:szCs w:val="21"/>
        </w:rPr>
        <w:t xml:space="preserve">N-TiO</w:t>
      </w:r>
      <w:r>
        <w:rPr>
          <w:rFonts w:ascii="Times New Roman" w:hAnsi="Times New Roman" w:cs="Times New Roman"/>
          <w:bCs/>
          <w:sz w:val="21"/>
          <w:szCs w:val="21"/>
          <w:vertAlign w:val="subscript"/>
        </w:rPr>
        <w:t xml:space="preserve">2</w:t>
      </w:r>
      <w:r>
        <w:rPr>
          <w:rFonts w:ascii="Times New Roman" w:hAnsi="Times New Roman" w:cs="Times New Roman"/>
          <w:bCs/>
          <w:sz w:val="21"/>
          <w:szCs w:val="21"/>
        </w:rPr>
        <w:t xml:space="preserve">), which showed similar POWS activity as that of Fe</w:t>
      </w:r>
      <w:r>
        <w:rPr>
          <w:rFonts w:ascii="Times New Roman" w:hAnsi="Times New Roman" w:cs="Times New Roman"/>
          <w:bCs/>
          <w:sz w:val="21"/>
          <w:szCs w:val="21"/>
          <w:vertAlign w:val="subscript"/>
        </w:rPr>
        <w:t xml:space="preserve">3</w:t>
      </w:r>
      <w:r>
        <w:rPr>
          <w:rFonts w:ascii="Times New Roman" w:hAnsi="Times New Roman" w:cs="Times New Roman"/>
          <w:bCs/>
          <w:sz w:val="21"/>
          <w:szCs w:val="21"/>
        </w:rPr>
        <w:t xml:space="preserve">O</w:t>
      </w:r>
      <w:r>
        <w:rPr>
          <w:rFonts w:ascii="Times New Roman" w:hAnsi="Times New Roman" w:cs="Times New Roman"/>
          <w:bCs/>
          <w:sz w:val="21"/>
          <w:szCs w:val="21"/>
          <w:vertAlign w:val="subscript"/>
        </w:rPr>
        <w:t xml:space="preserve">4</w:t>
      </w:r>
      <w:r>
        <w:rPr>
          <w:rFonts w:ascii="Times New Roman" w:hAnsi="Times New Roman" w:cs="Times New Roman"/>
          <w:bCs/>
          <w:sz w:val="21"/>
          <w:szCs w:val="21"/>
        </w:rPr>
        <w:t xml:space="preserve">/</w:t>
      </w:r>
      <w:r>
        <w:rPr>
          <w:rFonts w:ascii="Times New Roman" w:hAnsi="Times New Roman" w:cs="Times New Roman"/>
          <w:bCs/>
          <w:sz w:val="21"/>
          <w:szCs w:val="21"/>
        </w:rPr>
        <w:t xml:space="preserve">N-TiO</w:t>
      </w:r>
      <w:r>
        <w:rPr>
          <w:rFonts w:ascii="Times New Roman" w:hAnsi="Times New Roman" w:cs="Times New Roman"/>
          <w:bCs/>
          <w:sz w:val="21"/>
          <w:szCs w:val="21"/>
          <w:vertAlign w:val="subscript"/>
        </w:rPr>
        <w:t xml:space="preserve">2</w:t>
      </w:r>
      <w:r>
        <w:rPr>
          <w:rFonts w:ascii="Times New Roman" w:hAnsi="Times New Roman" w:cs="Times New Roman"/>
          <w:bCs/>
          <w:sz w:val="21"/>
          <w:szCs w:val="21"/>
        </w:rPr>
        <w:t xml:space="preserve">-</w:t>
      </w:r>
      <w:r>
        <w:rPr>
          <w:rFonts w:ascii="Times New Roman" w:hAnsi="Times New Roman" w:cs="Times New Roman"/>
          <w:bCs/>
          <w:sz w:val="21"/>
          <w:szCs w:val="21"/>
        </w:rPr>
        <w:t xml:space="preserve">2</w:t>
      </w:r>
      <w:r>
        <w:rPr>
          <w:rFonts w:ascii="Times New Roman" w:hAnsi="Times New Roman" w:cs="Times New Roman"/>
          <w:bCs/>
          <w:sz w:val="21"/>
          <w:szCs w:val="21"/>
        </w:rPr>
        <w:t xml:space="preserve">. The photocatalytic performance show</w:t>
      </w:r>
      <w:r>
        <w:rPr>
          <w:rFonts w:ascii="Times New Roman" w:hAnsi="Times New Roman" w:cs="Times New Roman"/>
          <w:bCs/>
          <w:sz w:val="21"/>
          <w:szCs w:val="21"/>
        </w:rPr>
        <w:t xml:space="preserve">s</w:t>
      </w:r>
      <w:r>
        <w:rPr>
          <w:rFonts w:ascii="Times New Roman" w:hAnsi="Times New Roman" w:cs="Times New Roman"/>
          <w:bCs/>
          <w:sz w:val="21"/>
          <w:szCs w:val="21"/>
        </w:rPr>
        <w:t xml:space="preserve"> a</w:t>
      </w:r>
      <w:r>
        <w:rPr>
          <w:rFonts w:ascii="Times New Roman" w:hAnsi="Times New Roman" w:cs="Times New Roman"/>
          <w:bCs/>
          <w:sz w:val="21"/>
          <w:szCs w:val="21"/>
        </w:rPr>
        <w:t xml:space="preserve"> </w:t>
      </w:r>
      <w:r>
        <w:rPr>
          <w:rFonts w:ascii="Times New Roman" w:hAnsi="Times New Roman" w:cs="Times New Roman"/>
          <w:bCs/>
          <w:sz w:val="21"/>
          <w:szCs w:val="21"/>
        </w:rPr>
        <w:t xml:space="preserve">decreasing trend as the field strength is reduced (</w:t>
      </w:r>
      <w:r>
        <w:rPr>
          <w:rFonts w:ascii="Times New Roman" w:hAnsi="Times New Roman" w:cs="Times New Roman"/>
          <w:bCs/>
          <w:color w:val="FF0000"/>
          <w:sz w:val="21"/>
          <w:szCs w:val="21"/>
        </w:rPr>
        <w:t xml:space="preserve">Fig. 2a</w:t>
      </w:r>
      <w:r>
        <w:rPr>
          <w:rFonts w:ascii="Times New Roman" w:hAnsi="Times New Roman" w:cs="Times New Roman"/>
          <w:bCs/>
          <w:sz w:val="21"/>
          <w:szCs w:val="21"/>
        </w:rPr>
        <w:t xml:space="preserve">). </w:t>
      </w:r>
      <w:r>
        <w:rPr>
          <w:rFonts w:ascii="Times New Roman" w:hAnsi="Times New Roman" w:cs="Times New Roman"/>
          <w:bCs/>
          <w:sz w:val="21"/>
          <w:szCs w:val="21"/>
        </w:rPr>
        <w:t xml:space="preserve">Similarly, </w:t>
      </w:r>
      <w:r>
        <w:rPr>
          <w:rFonts w:ascii="Times New Roman" w:hAnsi="Times New Roman" w:cs="Times New Roman"/>
          <w:bCs/>
          <w:color w:val="FF0000"/>
          <w:sz w:val="21"/>
          <w:szCs w:val="21"/>
        </w:rPr>
        <w:t xml:space="preserve">Fig. 2b</w:t>
      </w:r>
      <w:r>
        <w:rPr>
          <w:rFonts w:ascii="Times New Roman" w:hAnsi="Times New Roman" w:cs="Times New Roman"/>
          <w:bCs/>
          <w:sz w:val="21"/>
          <w:szCs w:val="21"/>
        </w:rPr>
        <w:t xml:space="preserve"> shows </w:t>
      </w:r>
      <w:r>
        <w:rPr>
          <w:rFonts w:ascii="Times New Roman" w:hAnsi="Times New Roman" w:cs="Times New Roman"/>
          <w:bCs/>
          <w:sz w:val="21"/>
          <w:szCs w:val="21"/>
        </w:rPr>
        <w:t xml:space="preserve">the saturated </w:t>
      </w:r>
      <w:r>
        <w:rPr>
          <w:rFonts w:ascii="Times New Roman" w:hAnsi="Times New Roman" w:cs="Times New Roman"/>
          <w:bCs/>
          <w:sz w:val="21"/>
          <w:szCs w:val="21"/>
        </w:rPr>
        <w:t xml:space="preserve">magnetis</w:t>
      </w:r>
      <w:r>
        <w:rPr>
          <w:rFonts w:ascii="Times New Roman" w:hAnsi="Times New Roman" w:cs="Times New Roman"/>
          <w:bCs/>
          <w:sz w:val="21"/>
          <w:szCs w:val="21"/>
        </w:rPr>
        <w:t xml:space="preserve">ation value</w:t>
      </w:r>
      <w:r>
        <w:rPr>
          <w:rFonts w:ascii="Times New Roman" w:hAnsi="Times New Roman" w:cs="Times New Roman"/>
          <w:bCs/>
          <w:sz w:val="21"/>
          <w:szCs w:val="21"/>
        </w:rPr>
        <w:t xml:space="preserve"> var</w:t>
      </w:r>
      <w:r>
        <w:rPr>
          <w:rFonts w:ascii="Times New Roman" w:hAnsi="Times New Roman" w:cs="Times New Roman"/>
          <w:bCs/>
          <w:sz w:val="21"/>
          <w:szCs w:val="21"/>
        </w:rPr>
        <w:t xml:space="preserve">ies</w:t>
      </w:r>
      <w:r>
        <w:rPr>
          <w:rFonts w:ascii="Times New Roman" w:hAnsi="Times New Roman" w:cs="Times New Roman"/>
          <w:bCs/>
          <w:sz w:val="21"/>
          <w:szCs w:val="21"/>
        </w:rPr>
        <w:t xml:space="preserve"> with the Fe</w:t>
      </w:r>
      <w:r>
        <w:rPr>
          <w:rFonts w:ascii="Times New Roman" w:hAnsi="Times New Roman" w:cs="Times New Roman"/>
          <w:bCs/>
          <w:sz w:val="21"/>
          <w:szCs w:val="21"/>
          <w:vertAlign w:val="subscript"/>
        </w:rPr>
        <w:t xml:space="preserve">3</w:t>
      </w:r>
      <w:r>
        <w:rPr>
          <w:rFonts w:ascii="Times New Roman" w:hAnsi="Times New Roman" w:cs="Times New Roman"/>
          <w:bCs/>
          <w:sz w:val="21"/>
          <w:szCs w:val="21"/>
        </w:rPr>
        <w:t xml:space="preserve">O</w:t>
      </w:r>
      <w:r>
        <w:rPr>
          <w:rFonts w:ascii="Times New Roman" w:hAnsi="Times New Roman" w:cs="Times New Roman"/>
          <w:bCs/>
          <w:sz w:val="21"/>
          <w:szCs w:val="21"/>
          <w:vertAlign w:val="subscript"/>
        </w:rPr>
        <w:t xml:space="preserve">4</w:t>
      </w:r>
      <w:r>
        <w:rPr>
          <w:rFonts w:ascii="Times New Roman" w:hAnsi="Times New Roman" w:cs="Times New Roman"/>
          <w:bCs/>
          <w:sz w:val="21"/>
          <w:szCs w:val="21"/>
        </w:rPr>
        <w:t xml:space="preserve"> NPs content. </w:t>
      </w:r>
      <w:r/>
    </w:p>
    <w:p>
      <w:pPr>
        <w:jc w:val="both"/>
        <w:spacing w:lineRule="exact" w:line="400" w:after="156"/>
        <w:rPr>
          <w:rFonts w:ascii="Times New Roman" w:hAnsi="Times New Roman" w:cs="Times New Roman"/>
          <w:bCs/>
          <w:sz w:val="21"/>
          <w:szCs w:val="21"/>
        </w:rPr>
      </w:pPr>
      <w:r>
        <w:rPr>
          <w:rFonts w:ascii="Times New Roman" w:hAnsi="Times New Roman" w:cs="Times New Roman"/>
          <w:bCs/>
          <w:sz w:val="21"/>
          <w:szCs w:val="21"/>
        </w:rPr>
        <w:t xml:space="preserve">The POWS </w:t>
      </w:r>
      <w:r>
        <w:rPr>
          <w:rFonts w:ascii="Times New Roman" w:hAnsi="Times New Roman" w:cs="Times New Roman" w:hint="eastAsia"/>
          <w:bCs/>
          <w:sz w:val="21"/>
          <w:szCs w:val="21"/>
        </w:rPr>
        <w:t xml:space="preserve">ac</w:t>
      </w:r>
      <w:r>
        <w:rPr>
          <w:rFonts w:ascii="Times New Roman" w:hAnsi="Times New Roman" w:cs="Times New Roman"/>
          <w:bCs/>
          <w:sz w:val="21"/>
          <w:szCs w:val="21"/>
        </w:rPr>
        <w:t xml:space="preserve">tivities were then tested at 270 </w:t>
      </w:r>
      <w:r>
        <w:rPr>
          <w:rFonts w:ascii="Times New Roman" w:hAnsi="Times New Roman" w:cs="Times New Roman"/>
          <w:bCs/>
          <w:sz w:val="21"/>
          <w:szCs w:val="21"/>
          <w:vertAlign w:val="superscript"/>
        </w:rPr>
        <w:t xml:space="preserve">o</w:t>
      </w:r>
      <w:r>
        <w:rPr>
          <w:rFonts w:ascii="Times New Roman" w:hAnsi="Times New Roman" w:cs="Times New Roman"/>
          <w:bCs/>
          <w:sz w:val="21"/>
          <w:szCs w:val="21"/>
        </w:rPr>
        <w:t xml:space="preserve">C</w:t>
      </w:r>
      <w:r>
        <w:rPr>
          <w:rFonts w:ascii="Times New Roman" w:hAnsi="Times New Roman" w:cs="Times New Roman"/>
          <w:bCs/>
          <w:sz w:val="21"/>
          <w:szCs w:val="21"/>
        </w:rPr>
        <w:t xml:space="preserve"> as well under v</w:t>
      </w:r>
      <w:r>
        <w:rPr>
          <w:rFonts w:ascii="Times New Roman" w:hAnsi="Times New Roman" w:cs="Times New Roman"/>
          <w:bCs/>
          <w:sz w:val="21"/>
          <w:szCs w:val="21"/>
        </w:rPr>
        <w:t xml:space="preserve">isible light irradiation with an external magnetic field </w:t>
      </w:r>
      <w:r>
        <w:rPr>
          <w:rFonts w:ascii="Times New Roman" w:hAnsi="Times New Roman" w:cs="Times New Roman"/>
          <w:bCs/>
          <w:sz w:val="21"/>
          <w:szCs w:val="21"/>
        </w:rPr>
        <w:t xml:space="preserve">of </w:t>
      </w:r>
      <w:r>
        <w:rPr>
          <w:rFonts w:ascii="Times New Roman" w:hAnsi="Times New Roman" w:cs="Times New Roman"/>
          <w:bCs/>
          <w:sz w:val="21"/>
          <w:szCs w:val="21"/>
        </w:rPr>
        <w:t xml:space="preserve">1500 Oe</w:t>
      </w:r>
      <w:r>
        <w:rPr>
          <w:rFonts w:ascii="Times New Roman" w:hAnsi="Times New Roman" w:cs="Times New Roman"/>
          <w:bCs/>
          <w:sz w:val="21"/>
          <w:szCs w:val="21"/>
        </w:rPr>
        <w:t xml:space="preserve">. </w:t>
      </w:r>
      <w:r>
        <w:rPr>
          <w:rFonts w:ascii="Times New Roman" w:hAnsi="Times New Roman" w:cs="Times New Roman"/>
          <w:bCs/>
          <w:color w:val="FF0000"/>
          <w:sz w:val="21"/>
          <w:szCs w:val="21"/>
        </w:rPr>
        <w:t xml:space="preserve">Fig. 2c</w:t>
      </w:r>
      <w:r>
        <w:rPr>
          <w:rFonts w:ascii="Times New Roman" w:hAnsi="Times New Roman" w:cs="Times New Roman"/>
          <w:bCs/>
          <w:sz w:val="21"/>
          <w:szCs w:val="21"/>
        </w:rPr>
        <w:t xml:space="preserve"> </w:t>
      </w:r>
      <w:r>
        <w:rPr>
          <w:rFonts w:ascii="Times New Roman" w:hAnsi="Times New Roman" w:cs="Times New Roman"/>
          <w:bCs/>
          <w:sz w:val="21"/>
          <w:szCs w:val="21"/>
        </w:rPr>
        <w:t xml:space="preserve">clear</w:t>
      </w:r>
      <w:r>
        <w:rPr>
          <w:rFonts w:ascii="Times New Roman" w:hAnsi="Times New Roman" w:cs="Times New Roman"/>
          <w:bCs/>
          <w:sz w:val="21"/>
          <w:szCs w:val="21"/>
        </w:rPr>
        <w:t xml:space="preserve">ly </w:t>
      </w:r>
      <w:r>
        <w:rPr>
          <w:rFonts w:ascii="Times New Roman" w:hAnsi="Times New Roman" w:cs="Times New Roman"/>
          <w:bCs/>
          <w:sz w:val="21"/>
          <w:szCs w:val="21"/>
        </w:rPr>
        <w:t xml:space="preserve">indicates that the magnetic photocatalysts become more sensitive to the external magnetic field as the </w:t>
      </w:r>
      <w:r>
        <w:rPr>
          <w:rFonts w:ascii="Times New Roman" w:hAnsi="Times New Roman" w:cs="Times New Roman"/>
          <w:bCs/>
          <w:sz w:val="21"/>
          <w:szCs w:val="21"/>
        </w:rPr>
        <w:t xml:space="preserve">content </w:t>
      </w:r>
      <w:r>
        <w:rPr>
          <w:rFonts w:ascii="Times New Roman" w:hAnsi="Times New Roman" w:cs="Times New Roman"/>
          <w:bCs/>
          <w:sz w:val="21"/>
          <w:szCs w:val="21"/>
        </w:rPr>
        <w:t xml:space="preserve">of </w:t>
      </w:r>
      <w:r>
        <w:rPr>
          <w:rFonts w:ascii="Times New Roman" w:hAnsi="Times New Roman" w:cs="Times New Roman"/>
          <w:bCs/>
          <w:sz w:val="21"/>
          <w:szCs w:val="21"/>
        </w:rPr>
        <w:t xml:space="preserve">the </w:t>
      </w:r>
      <w:r>
        <w:rPr>
          <w:rFonts w:ascii="Times New Roman" w:hAnsi="Times New Roman" w:cs="Times New Roman"/>
          <w:bCs/>
          <w:sz w:val="21"/>
          <w:szCs w:val="21"/>
        </w:rPr>
        <w:t xml:space="preserve">Fe</w:t>
      </w:r>
      <w:r>
        <w:rPr>
          <w:rFonts w:ascii="Times New Roman" w:hAnsi="Times New Roman" w:cs="Times New Roman"/>
          <w:bCs/>
          <w:sz w:val="21"/>
          <w:szCs w:val="21"/>
          <w:vertAlign w:val="subscript"/>
        </w:rPr>
        <w:t xml:space="preserve">3</w:t>
      </w:r>
      <w:r>
        <w:rPr>
          <w:rFonts w:ascii="Times New Roman" w:hAnsi="Times New Roman" w:cs="Times New Roman"/>
          <w:bCs/>
          <w:sz w:val="21"/>
          <w:szCs w:val="21"/>
        </w:rPr>
        <w:t xml:space="preserve">O</w:t>
      </w:r>
      <w:r>
        <w:rPr>
          <w:rFonts w:ascii="Times New Roman" w:hAnsi="Times New Roman" w:cs="Times New Roman"/>
          <w:bCs/>
          <w:sz w:val="21"/>
          <w:szCs w:val="21"/>
          <w:vertAlign w:val="subscript"/>
        </w:rPr>
        <w:t xml:space="preserve">4</w:t>
      </w:r>
      <w:r>
        <w:rPr>
          <w:rFonts w:ascii="Times New Roman" w:hAnsi="Times New Roman" w:cs="Times New Roman"/>
          <w:bCs/>
          <w:sz w:val="21"/>
          <w:szCs w:val="21"/>
        </w:rPr>
        <w:t xml:space="preserve"> </w:t>
      </w:r>
      <w:r>
        <w:rPr>
          <w:rFonts w:ascii="Times New Roman" w:hAnsi="Times New Roman" w:cs="Times New Roman"/>
          <w:bCs/>
          <w:sz w:val="21"/>
          <w:szCs w:val="21"/>
        </w:rPr>
        <w:t xml:space="preserve">NPs </w:t>
      </w:r>
      <w:r>
        <w:rPr>
          <w:rFonts w:ascii="Times New Roman" w:hAnsi="Times New Roman" w:cs="Times New Roman"/>
          <w:bCs/>
          <w:sz w:val="21"/>
          <w:szCs w:val="21"/>
        </w:rPr>
        <w:t xml:space="preserve">increasing.</w:t>
      </w:r>
      <w:r>
        <w:rPr>
          <w:rFonts w:ascii="Times New Roman" w:hAnsi="Times New Roman" w:cs="Times New Roman" w:hint="eastAsia"/>
          <w:bCs/>
          <w:sz w:val="21"/>
          <w:szCs w:val="21"/>
        </w:rPr>
        <w:t xml:space="preserve"> </w:t>
      </w:r>
      <w:r/>
    </w:p>
    <w:p>
      <w:pPr>
        <w:jc w:val="both"/>
        <w:spacing w:lineRule="exact" w:line="400" w:after="156"/>
        <w:rPr>
          <w:rFonts w:ascii="Times New Roman" w:hAnsi="Times New Roman" w:cs="Times New Roman"/>
          <w:bCs/>
          <w:sz w:val="21"/>
          <w:szCs w:val="21"/>
        </w:rPr>
      </w:pPr>
      <w:r>
        <w:rPr>
          <w:rFonts w:ascii="Times New Roman" w:hAnsi="Times New Roman" w:cs="Times New Roman"/>
          <w:bCs/>
          <w:sz w:val="21"/>
          <w:szCs w:val="21"/>
        </w:rPr>
      </w:r>
      <w:r/>
    </w:p>
    <w:p>
      <w:pPr>
        <w:jc w:val="both"/>
        <w:spacing w:lineRule="exact" w:line="400" w:after="156"/>
        <w:rPr>
          <w:rFonts w:ascii="Times New Roman" w:hAnsi="Times New Roman" w:cs="Times New Roman"/>
          <w:bCs/>
          <w:sz w:val="21"/>
          <w:szCs w:val="21"/>
        </w:rPr>
      </w:pPr>
      <w:r>
        <w:rPr>
          <w:rFonts w:ascii="Times New Roman" w:hAnsi="Times New Roman" w:cs="Times New Roman"/>
          <w:bCs/>
          <w:sz w:val="21"/>
          <w:szCs w:val="21"/>
          <w:lang w:eastAsia="en-GB"/>
        </w:rPr>
        <mc:AlternateContent>
          <mc:Choice Requires="wpg">
            <w:drawing>
              <wp:anchor xmlns:wp="http://schemas.openxmlformats.org/drawingml/2006/wordprocessingDrawing" distT="0" distB="0" distL="114300" distR="114300" simplePos="0" relativeHeight="251657728" behindDoc="0" locked="0" layoutInCell="1" allowOverlap="1">
                <wp:simplePos x="0" y="0"/>
                <wp:positionH relativeFrom="column">
                  <wp:posOffset>183211</wp:posOffset>
                </wp:positionH>
                <wp:positionV relativeFrom="paragraph">
                  <wp:posOffset>1325</wp:posOffset>
                </wp:positionV>
                <wp:extent cx="5399405" cy="1665605"/>
                <wp:effectExtent l="0" t="0" r="0" b="0"/>
                <wp:wrapThrough wrapText="bothSides">
                  <wp:wrapPolygon edited="1">
                    <wp:start x="0" y="0"/>
                    <wp:lineTo x="0" y="21246"/>
                    <wp:lineTo x="21491" y="21246"/>
                    <wp:lineTo x="21491" y="0"/>
                    <wp:lineTo x="0" y="0"/>
                  </wp:wrapPolygon>
                </wp:wrapThrough>
                <wp:docPr id="2" name="图片 6"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2_activity.tif" hidden="0"/>
                        <pic:cNvPicPr>
                          <a:picLocks noChangeAspect="1"/>
                        </pic:cNvPicPr>
                        <pic:nvPr isPhoto="0" userDrawn="0"/>
                      </pic:nvPicPr>
                      <pic:blipFill>
                        <a:blip r:embed="rId13"/>
                        <a:stretch/>
                      </pic:blipFill>
                      <pic:spPr bwMode="auto">
                        <a:xfrm>
                          <a:off x="0" y="0"/>
                          <a:ext cx="5399405" cy="1665605"/>
                        </a:xfrm>
                        <a:prstGeom prst="rect">
                          <a:avLst/>
                        </a:prstGeom>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51657728;o:allowoverlap:true;o:allowincell:true;mso-position-horizontal-relative:text;margin-left:14.4pt;mso-position-horizontal:absolute;mso-position-vertical-relative:text;margin-top:0.1pt;mso-position-vertical:absolute;width:425.1pt;height:131.2pt;" wrapcoords="0 0 0 98361 99495 98361 99495 0 0 0" stroked="false">
                <v:path textboxrect="0,0,0,0"/>
                <v:imagedata r:id="rId13" o:title=""/>
              </v:shape>
            </w:pict>
          </mc:Fallback>
        </mc:AlternateContent>
      </w:r>
      <w:r>
        <w:rPr>
          <w:rFonts w:ascii="Times New Roman" w:hAnsi="Times New Roman" w:cs="Times New Roman"/>
          <w:b/>
          <w:sz w:val="18"/>
          <w:szCs w:val="18"/>
        </w:rPr>
        <w:t xml:space="preserve">Fig</w:t>
      </w:r>
      <w:r>
        <w:rPr>
          <w:rFonts w:ascii="Times New Roman" w:hAnsi="Times New Roman" w:cs="Times New Roman"/>
          <w:b/>
          <w:sz w:val="18"/>
          <w:szCs w:val="18"/>
        </w:rPr>
        <w:t xml:space="preserve">ure</w:t>
      </w:r>
      <w:r>
        <w:rPr>
          <w:rFonts w:ascii="Times New Roman" w:hAnsi="Times New Roman" w:cs="Times New Roman"/>
          <w:b/>
          <w:sz w:val="18"/>
          <w:szCs w:val="18"/>
        </w:rPr>
        <w:t xml:space="preserve"> 2</w:t>
      </w:r>
      <w:r>
        <w:rPr>
          <w:rFonts w:ascii="Times New Roman" w:hAnsi="Times New Roman" w:cs="Times New Roman"/>
          <w:b/>
          <w:sz w:val="18"/>
          <w:szCs w:val="18"/>
        </w:rPr>
        <w:t xml:space="preserve"> </w:t>
      </w:r>
      <w:r>
        <w:rPr>
          <w:rFonts w:ascii="Times New Roman" w:hAnsi="Times New Roman" w:cs="Times New Roman"/>
          <w:sz w:val="18"/>
          <w:szCs w:val="18"/>
        </w:rPr>
        <w:t xml:space="preserve">Characteris</w:t>
      </w:r>
      <w:r>
        <w:rPr>
          <w:rFonts w:ascii="Times New Roman" w:hAnsi="Times New Roman" w:cs="Times New Roman"/>
          <w:sz w:val="18"/>
          <w:szCs w:val="18"/>
        </w:rPr>
        <w:t xml:space="preserve">ation and activity tests of the </w:t>
      </w:r>
      <w:r>
        <w:rPr>
          <w:rFonts w:ascii="Times New Roman" w:hAnsi="Times New Roman" w:cs="Times New Roman"/>
          <w:bCs/>
          <w:sz w:val="18"/>
          <w:szCs w:val="18"/>
        </w:rPr>
        <w:t xml:space="preserve">Fe</w:t>
      </w:r>
      <w:r>
        <w:rPr>
          <w:rFonts w:ascii="Times New Roman" w:hAnsi="Times New Roman" w:cs="Times New Roman"/>
          <w:bCs/>
          <w:sz w:val="18"/>
          <w:szCs w:val="18"/>
          <w:vertAlign w:val="subscript"/>
        </w:rPr>
        <w:t xml:space="preserve">3</w:t>
      </w:r>
      <w:r>
        <w:rPr>
          <w:rFonts w:ascii="Times New Roman" w:hAnsi="Times New Roman" w:cs="Times New Roman"/>
          <w:bCs/>
          <w:sz w:val="18"/>
          <w:szCs w:val="18"/>
        </w:rPr>
        <w:t xml:space="preserve">O</w:t>
      </w:r>
      <w:r>
        <w:rPr>
          <w:rFonts w:ascii="Times New Roman" w:hAnsi="Times New Roman" w:cs="Times New Roman"/>
          <w:bCs/>
          <w:sz w:val="18"/>
          <w:szCs w:val="18"/>
          <w:vertAlign w:val="subscript"/>
        </w:rPr>
        <w:t xml:space="preserve">4</w:t>
      </w:r>
      <w:r>
        <w:rPr>
          <w:rFonts w:ascii="Times New Roman" w:hAnsi="Times New Roman" w:cs="Times New Roman"/>
          <w:bCs/>
          <w:sz w:val="18"/>
          <w:szCs w:val="18"/>
        </w:rPr>
        <w:t xml:space="preserve">/</w:t>
      </w:r>
      <w:r>
        <w:rPr>
          <w:rFonts w:ascii="Times New Roman" w:hAnsi="Times New Roman" w:cs="Times New Roman"/>
          <w:bCs/>
          <w:sz w:val="18"/>
          <w:szCs w:val="18"/>
        </w:rPr>
        <w:t xml:space="preserve">N-TiO</w:t>
      </w:r>
      <w:r>
        <w:rPr>
          <w:rFonts w:ascii="Times New Roman" w:hAnsi="Times New Roman" w:cs="Times New Roman"/>
          <w:bCs/>
          <w:sz w:val="18"/>
          <w:szCs w:val="18"/>
          <w:vertAlign w:val="subscript"/>
        </w:rPr>
        <w:t xml:space="preserve">2 </w:t>
      </w:r>
      <w:r>
        <w:rPr>
          <w:rFonts w:ascii="Times New Roman" w:hAnsi="Times New Roman" w:cs="Times New Roman"/>
          <w:bCs/>
          <w:sz w:val="18"/>
          <w:szCs w:val="18"/>
        </w:rPr>
        <w:t xml:space="preserve">photocatalysts.</w:t>
      </w:r>
      <w:r>
        <w:rPr>
          <w:rFonts w:ascii="Times New Roman" w:hAnsi="Times New Roman" w:cs="Times New Roman"/>
          <w:bCs/>
          <w:sz w:val="18"/>
          <w:szCs w:val="18"/>
        </w:rPr>
        <w:t xml:space="preserve"> </w:t>
      </w:r>
      <w:r>
        <w:rPr>
          <w:rFonts w:ascii="Times New Roman" w:hAnsi="Times New Roman" w:cs="Times New Roman"/>
          <w:b/>
          <w:bCs/>
          <w:sz w:val="18"/>
          <w:szCs w:val="18"/>
        </w:rPr>
        <w:t xml:space="preserve">a</w:t>
      </w:r>
      <w:r>
        <w:rPr>
          <w:rFonts w:ascii="Times New Roman" w:hAnsi="Times New Roman" w:cs="Times New Roman"/>
          <w:b/>
          <w:bCs/>
          <w:sz w:val="18"/>
          <w:szCs w:val="18"/>
        </w:rPr>
        <w:t xml:space="preserve"> </w:t>
      </w:r>
      <w:r>
        <w:rPr>
          <w:rFonts w:ascii="Times New Roman" w:hAnsi="Times New Roman" w:cs="Times New Roman"/>
          <w:bCs/>
          <w:sz w:val="18"/>
          <w:szCs w:val="18"/>
        </w:rPr>
        <w:t xml:space="preserve">POWS activity tests of Fe</w:t>
      </w:r>
      <w:r>
        <w:rPr>
          <w:rFonts w:ascii="Times New Roman" w:hAnsi="Times New Roman" w:cs="Times New Roman"/>
          <w:bCs/>
          <w:sz w:val="18"/>
          <w:szCs w:val="18"/>
          <w:vertAlign w:val="subscript"/>
        </w:rPr>
        <w:t xml:space="preserve">3</w:t>
      </w:r>
      <w:r>
        <w:rPr>
          <w:rFonts w:ascii="Times New Roman" w:hAnsi="Times New Roman" w:cs="Times New Roman"/>
          <w:bCs/>
          <w:sz w:val="18"/>
          <w:szCs w:val="18"/>
        </w:rPr>
        <w:t xml:space="preserve">O</w:t>
      </w:r>
      <w:r>
        <w:rPr>
          <w:rFonts w:ascii="Times New Roman" w:hAnsi="Times New Roman" w:cs="Times New Roman"/>
          <w:bCs/>
          <w:sz w:val="18"/>
          <w:szCs w:val="18"/>
          <w:vertAlign w:val="subscript"/>
        </w:rPr>
        <w:t xml:space="preserve">4</w:t>
      </w:r>
      <w:r>
        <w:rPr>
          <w:rFonts w:ascii="Times New Roman" w:hAnsi="Times New Roman" w:cs="Times New Roman"/>
          <w:bCs/>
          <w:sz w:val="18"/>
          <w:szCs w:val="18"/>
        </w:rPr>
        <w:t xml:space="preserve">/</w:t>
      </w:r>
      <w:r>
        <w:rPr>
          <w:rFonts w:ascii="Times New Roman" w:hAnsi="Times New Roman" w:cs="Times New Roman"/>
          <w:bCs/>
          <w:sz w:val="18"/>
          <w:szCs w:val="18"/>
        </w:rPr>
        <w:t xml:space="preserve">N-TiO</w:t>
      </w:r>
      <w:r>
        <w:rPr>
          <w:rFonts w:ascii="Times New Roman" w:hAnsi="Times New Roman" w:cs="Times New Roman"/>
          <w:bCs/>
          <w:sz w:val="18"/>
          <w:szCs w:val="18"/>
          <w:vertAlign w:val="subscript"/>
        </w:rPr>
        <w:t xml:space="preserve">2</w:t>
      </w:r>
      <w:r>
        <w:rPr>
          <w:rFonts w:ascii="Times New Roman" w:hAnsi="Times New Roman" w:cs="Times New Roman"/>
          <w:bCs/>
          <w:sz w:val="18"/>
          <w:szCs w:val="18"/>
        </w:rPr>
        <w:t xml:space="preserve">-</w:t>
      </w:r>
      <w:r>
        <w:rPr>
          <w:rFonts w:ascii="Times New Roman" w:hAnsi="Times New Roman" w:cs="Times New Roman"/>
          <w:bCs/>
          <w:sz w:val="18"/>
          <w:szCs w:val="18"/>
        </w:rPr>
        <w:t xml:space="preserve">2</w:t>
      </w:r>
      <w:r>
        <w:rPr>
          <w:rFonts w:ascii="Times New Roman" w:hAnsi="Times New Roman" w:cs="Times New Roman"/>
          <w:bCs/>
          <w:sz w:val="18"/>
          <w:szCs w:val="18"/>
        </w:rPr>
        <w:t xml:space="preserve"> under external magnetic field of different strengths. </w:t>
      </w:r>
      <w:r>
        <w:rPr>
          <w:rFonts w:ascii="Times New Roman" w:hAnsi="Times New Roman" w:cs="Times New Roman"/>
          <w:b/>
          <w:bCs/>
          <w:sz w:val="18"/>
          <w:szCs w:val="18"/>
        </w:rPr>
        <w:t xml:space="preserve">b</w:t>
      </w:r>
      <w:r>
        <w:rPr>
          <w:rFonts w:ascii="Times New Roman" w:hAnsi="Times New Roman" w:cs="Times New Roman"/>
          <w:b/>
          <w:bCs/>
          <w:sz w:val="18"/>
          <w:szCs w:val="18"/>
        </w:rPr>
        <w:t xml:space="preserve"> </w:t>
      </w:r>
      <w:r>
        <w:rPr>
          <w:rFonts w:ascii="Times New Roman" w:hAnsi="Times New Roman" w:cs="Times New Roman"/>
          <w:bCs/>
          <w:sz w:val="18"/>
          <w:szCs w:val="18"/>
        </w:rPr>
        <w:t xml:space="preserve">magnetis</w:t>
      </w:r>
      <w:r>
        <w:rPr>
          <w:rFonts w:ascii="Times New Roman" w:hAnsi="Times New Roman" w:cs="Times New Roman"/>
          <w:bCs/>
          <w:sz w:val="18"/>
          <w:szCs w:val="18"/>
        </w:rPr>
        <w:t xml:space="preserve">ation curves of Fe</w:t>
      </w:r>
      <w:r>
        <w:rPr>
          <w:rFonts w:ascii="Times New Roman" w:hAnsi="Times New Roman" w:cs="Times New Roman"/>
          <w:bCs/>
          <w:sz w:val="18"/>
          <w:szCs w:val="18"/>
          <w:vertAlign w:val="subscript"/>
        </w:rPr>
        <w:t xml:space="preserve">3</w:t>
      </w:r>
      <w:r>
        <w:rPr>
          <w:rFonts w:ascii="Times New Roman" w:hAnsi="Times New Roman" w:cs="Times New Roman"/>
          <w:bCs/>
          <w:sz w:val="18"/>
          <w:szCs w:val="18"/>
        </w:rPr>
        <w:t xml:space="preserve">O</w:t>
      </w:r>
      <w:r>
        <w:rPr>
          <w:rFonts w:ascii="Times New Roman" w:hAnsi="Times New Roman" w:cs="Times New Roman"/>
          <w:bCs/>
          <w:sz w:val="18"/>
          <w:szCs w:val="18"/>
          <w:vertAlign w:val="subscript"/>
        </w:rPr>
        <w:t xml:space="preserve">4</w:t>
      </w:r>
      <w:r>
        <w:rPr>
          <w:rFonts w:ascii="Times New Roman" w:hAnsi="Times New Roman" w:cs="Times New Roman"/>
          <w:bCs/>
          <w:sz w:val="18"/>
          <w:szCs w:val="18"/>
        </w:rPr>
        <w:t xml:space="preserve">/</w:t>
      </w:r>
      <w:r>
        <w:rPr>
          <w:rFonts w:ascii="Times New Roman" w:hAnsi="Times New Roman" w:cs="Times New Roman"/>
          <w:bCs/>
          <w:sz w:val="18"/>
          <w:szCs w:val="18"/>
        </w:rPr>
        <w:t xml:space="preserve">N-TiO</w:t>
      </w:r>
      <w:r>
        <w:rPr>
          <w:rFonts w:ascii="Times New Roman" w:hAnsi="Times New Roman" w:cs="Times New Roman"/>
          <w:bCs/>
          <w:sz w:val="18"/>
          <w:szCs w:val="18"/>
          <w:vertAlign w:val="subscript"/>
        </w:rPr>
        <w:t xml:space="preserve">2</w:t>
      </w:r>
      <w:r>
        <w:rPr>
          <w:rFonts w:ascii="Times New Roman" w:hAnsi="Times New Roman" w:cs="Times New Roman"/>
          <w:bCs/>
          <w:sz w:val="18"/>
          <w:szCs w:val="18"/>
        </w:rPr>
        <w:t xml:space="preserve">-</w:t>
      </w:r>
      <w:r>
        <w:rPr>
          <w:rFonts w:ascii="Times New Roman" w:hAnsi="Times New Roman" w:cs="Times New Roman"/>
          <w:bCs/>
          <w:sz w:val="18"/>
          <w:szCs w:val="18"/>
        </w:rPr>
        <w:t xml:space="preserve">1</w:t>
      </w:r>
      <w:r>
        <w:rPr>
          <w:rFonts w:ascii="Times New Roman" w:hAnsi="Times New Roman" w:cs="Times New Roman"/>
          <w:bCs/>
          <w:sz w:val="18"/>
          <w:szCs w:val="18"/>
        </w:rPr>
        <w:t xml:space="preserve">, Fe</w:t>
      </w:r>
      <w:r>
        <w:rPr>
          <w:rFonts w:ascii="Times New Roman" w:hAnsi="Times New Roman" w:cs="Times New Roman"/>
          <w:bCs/>
          <w:sz w:val="18"/>
          <w:szCs w:val="18"/>
          <w:vertAlign w:val="subscript"/>
        </w:rPr>
        <w:t xml:space="preserve">3</w:t>
      </w:r>
      <w:r>
        <w:rPr>
          <w:rFonts w:ascii="Times New Roman" w:hAnsi="Times New Roman" w:cs="Times New Roman"/>
          <w:bCs/>
          <w:sz w:val="18"/>
          <w:szCs w:val="18"/>
        </w:rPr>
        <w:t xml:space="preserve">O</w:t>
      </w:r>
      <w:r>
        <w:rPr>
          <w:rFonts w:ascii="Times New Roman" w:hAnsi="Times New Roman" w:cs="Times New Roman"/>
          <w:bCs/>
          <w:sz w:val="18"/>
          <w:szCs w:val="18"/>
          <w:vertAlign w:val="subscript"/>
        </w:rPr>
        <w:t xml:space="preserve">4</w:t>
      </w:r>
      <w:r>
        <w:rPr>
          <w:rFonts w:ascii="Times New Roman" w:hAnsi="Times New Roman" w:cs="Times New Roman"/>
          <w:bCs/>
          <w:sz w:val="18"/>
          <w:szCs w:val="18"/>
        </w:rPr>
        <w:t xml:space="preserve">/</w:t>
      </w:r>
      <w:r>
        <w:rPr>
          <w:rFonts w:ascii="Times New Roman" w:hAnsi="Times New Roman" w:cs="Times New Roman"/>
          <w:bCs/>
          <w:sz w:val="18"/>
          <w:szCs w:val="18"/>
        </w:rPr>
        <w:t xml:space="preserve">N-TiO</w:t>
      </w:r>
      <w:r>
        <w:rPr>
          <w:rFonts w:ascii="Times New Roman" w:hAnsi="Times New Roman" w:cs="Times New Roman"/>
          <w:bCs/>
          <w:sz w:val="18"/>
          <w:szCs w:val="18"/>
          <w:vertAlign w:val="subscript"/>
        </w:rPr>
        <w:t xml:space="preserve">2</w:t>
      </w:r>
      <w:r>
        <w:rPr>
          <w:rFonts w:ascii="Times New Roman" w:hAnsi="Times New Roman" w:cs="Times New Roman"/>
          <w:bCs/>
          <w:sz w:val="18"/>
          <w:szCs w:val="18"/>
        </w:rPr>
        <w:t xml:space="preserve">-</w:t>
      </w:r>
      <w:r>
        <w:rPr>
          <w:rFonts w:ascii="Times New Roman" w:hAnsi="Times New Roman" w:cs="Times New Roman"/>
          <w:bCs/>
          <w:sz w:val="18"/>
          <w:szCs w:val="18"/>
        </w:rPr>
        <w:t xml:space="preserve">2</w:t>
      </w:r>
      <w:r>
        <w:rPr>
          <w:rFonts w:ascii="Times New Roman" w:hAnsi="Times New Roman" w:cs="Times New Roman"/>
          <w:bCs/>
          <w:sz w:val="18"/>
          <w:szCs w:val="18"/>
        </w:rPr>
        <w:t xml:space="preserve">, Fe</w:t>
      </w:r>
      <w:r>
        <w:rPr>
          <w:rFonts w:ascii="Times New Roman" w:hAnsi="Times New Roman" w:cs="Times New Roman"/>
          <w:bCs/>
          <w:sz w:val="18"/>
          <w:szCs w:val="18"/>
          <w:vertAlign w:val="subscript"/>
        </w:rPr>
        <w:t xml:space="preserve">3</w:t>
      </w:r>
      <w:r>
        <w:rPr>
          <w:rFonts w:ascii="Times New Roman" w:hAnsi="Times New Roman" w:cs="Times New Roman"/>
          <w:bCs/>
          <w:sz w:val="18"/>
          <w:szCs w:val="18"/>
        </w:rPr>
        <w:t xml:space="preserve">O</w:t>
      </w:r>
      <w:r>
        <w:rPr>
          <w:rFonts w:ascii="Times New Roman" w:hAnsi="Times New Roman" w:cs="Times New Roman"/>
          <w:bCs/>
          <w:sz w:val="18"/>
          <w:szCs w:val="18"/>
          <w:vertAlign w:val="subscript"/>
        </w:rPr>
        <w:t xml:space="preserve">4</w:t>
      </w:r>
      <w:r>
        <w:rPr>
          <w:rFonts w:ascii="Times New Roman" w:hAnsi="Times New Roman" w:cs="Times New Roman"/>
          <w:bCs/>
          <w:sz w:val="18"/>
          <w:szCs w:val="18"/>
        </w:rPr>
        <w:t xml:space="preserve">/</w:t>
      </w:r>
      <w:r>
        <w:rPr>
          <w:rFonts w:ascii="Times New Roman" w:hAnsi="Times New Roman" w:cs="Times New Roman"/>
          <w:bCs/>
          <w:sz w:val="18"/>
          <w:szCs w:val="18"/>
        </w:rPr>
        <w:t xml:space="preserve">N-TiO</w:t>
      </w:r>
      <w:r>
        <w:rPr>
          <w:rFonts w:ascii="Times New Roman" w:hAnsi="Times New Roman" w:cs="Times New Roman"/>
          <w:bCs/>
          <w:sz w:val="18"/>
          <w:szCs w:val="18"/>
          <w:vertAlign w:val="subscript"/>
        </w:rPr>
        <w:t xml:space="preserve">2</w:t>
      </w:r>
      <w:r>
        <w:rPr>
          <w:rFonts w:ascii="Times New Roman" w:hAnsi="Times New Roman" w:cs="Times New Roman"/>
          <w:bCs/>
          <w:sz w:val="18"/>
          <w:szCs w:val="18"/>
        </w:rPr>
        <w:t xml:space="preserve">-</w:t>
      </w:r>
      <w:r>
        <w:rPr>
          <w:rFonts w:ascii="Times New Roman" w:hAnsi="Times New Roman" w:cs="Times New Roman"/>
          <w:bCs/>
          <w:sz w:val="18"/>
          <w:szCs w:val="18"/>
        </w:rPr>
        <w:t xml:space="preserve">3</w:t>
      </w:r>
      <w:r>
        <w:rPr>
          <w:rFonts w:ascii="Times New Roman" w:hAnsi="Times New Roman" w:cs="Times New Roman"/>
          <w:bCs/>
          <w:sz w:val="18"/>
          <w:szCs w:val="18"/>
        </w:rPr>
        <w:t xml:space="preserve"> and Fe</w:t>
      </w:r>
      <w:r>
        <w:rPr>
          <w:rFonts w:ascii="Times New Roman" w:hAnsi="Times New Roman" w:cs="Times New Roman"/>
          <w:bCs/>
          <w:sz w:val="18"/>
          <w:szCs w:val="18"/>
          <w:vertAlign w:val="subscript"/>
        </w:rPr>
        <w:t xml:space="preserve">3</w:t>
      </w:r>
      <w:r>
        <w:rPr>
          <w:rFonts w:ascii="Times New Roman" w:hAnsi="Times New Roman" w:cs="Times New Roman"/>
          <w:bCs/>
          <w:sz w:val="18"/>
          <w:szCs w:val="18"/>
        </w:rPr>
        <w:t xml:space="preserve">O</w:t>
      </w:r>
      <w:r>
        <w:rPr>
          <w:rFonts w:ascii="Times New Roman" w:hAnsi="Times New Roman" w:cs="Times New Roman"/>
          <w:bCs/>
          <w:sz w:val="18"/>
          <w:szCs w:val="18"/>
          <w:vertAlign w:val="subscript"/>
        </w:rPr>
        <w:t xml:space="preserve">4</w:t>
      </w:r>
      <w:r>
        <w:rPr>
          <w:rFonts w:ascii="Times New Roman" w:hAnsi="Times New Roman" w:cs="Times New Roman"/>
          <w:bCs/>
          <w:sz w:val="18"/>
          <w:szCs w:val="18"/>
        </w:rPr>
        <w:t xml:space="preserve">/</w:t>
      </w:r>
      <w:r>
        <w:rPr>
          <w:rFonts w:ascii="Times New Roman" w:hAnsi="Times New Roman" w:cs="Times New Roman"/>
          <w:bCs/>
          <w:sz w:val="18"/>
          <w:szCs w:val="18"/>
        </w:rPr>
        <w:t xml:space="preserve">N-TiO</w:t>
      </w:r>
      <w:r>
        <w:rPr>
          <w:rFonts w:ascii="Times New Roman" w:hAnsi="Times New Roman" w:cs="Times New Roman"/>
          <w:bCs/>
          <w:sz w:val="18"/>
          <w:szCs w:val="18"/>
          <w:vertAlign w:val="subscript"/>
        </w:rPr>
        <w:t xml:space="preserve">2</w:t>
      </w:r>
      <w:r>
        <w:rPr>
          <w:rFonts w:ascii="Times New Roman" w:hAnsi="Times New Roman" w:cs="Times New Roman"/>
          <w:bCs/>
          <w:sz w:val="18"/>
          <w:szCs w:val="18"/>
        </w:rPr>
        <w:t xml:space="preserve">-</w:t>
      </w:r>
      <w:r>
        <w:rPr>
          <w:rFonts w:ascii="Times New Roman" w:hAnsi="Times New Roman" w:cs="Times New Roman"/>
          <w:bCs/>
          <w:sz w:val="18"/>
          <w:szCs w:val="18"/>
        </w:rPr>
        <w:t xml:space="preserve">4</w:t>
      </w:r>
      <w:r>
        <w:rPr>
          <w:rFonts w:ascii="Times New Roman" w:hAnsi="Times New Roman" w:cs="Times New Roman"/>
          <w:bCs/>
          <w:sz w:val="18"/>
          <w:szCs w:val="18"/>
        </w:rPr>
        <w:t xml:space="preserve"> photocatalysts; </w:t>
      </w:r>
      <w:r>
        <w:rPr>
          <w:rFonts w:ascii="Times New Roman" w:hAnsi="Times New Roman" w:cs="Times New Roman"/>
          <w:b/>
          <w:bCs/>
          <w:sz w:val="18"/>
          <w:szCs w:val="18"/>
        </w:rPr>
        <w:t xml:space="preserve">c</w:t>
      </w:r>
      <w:r>
        <w:rPr>
          <w:rFonts w:ascii="Times New Roman" w:hAnsi="Times New Roman" w:cs="Times New Roman"/>
          <w:b/>
          <w:bCs/>
          <w:sz w:val="18"/>
          <w:szCs w:val="18"/>
        </w:rPr>
        <w:t xml:space="preserve"> </w:t>
      </w:r>
      <w:r>
        <w:rPr>
          <w:rFonts w:ascii="Times New Roman" w:hAnsi="Times New Roman" w:cs="Times New Roman"/>
          <w:bCs/>
          <w:sz w:val="18"/>
          <w:szCs w:val="18"/>
        </w:rPr>
        <w:t xml:space="preserve">POWS activity tests of N-TiO</w:t>
      </w:r>
      <w:r>
        <w:rPr>
          <w:rFonts w:ascii="Times New Roman" w:hAnsi="Times New Roman" w:cs="Times New Roman"/>
          <w:bCs/>
          <w:sz w:val="18"/>
          <w:szCs w:val="18"/>
          <w:vertAlign w:val="subscript"/>
        </w:rPr>
        <w:t xml:space="preserve">2</w:t>
      </w:r>
      <w:r>
        <w:rPr>
          <w:rFonts w:ascii="Times New Roman" w:hAnsi="Times New Roman" w:cs="Times New Roman"/>
          <w:bCs/>
          <w:sz w:val="18"/>
          <w:szCs w:val="18"/>
        </w:rPr>
        <w:t xml:space="preserve">, Fe</w:t>
      </w:r>
      <w:r>
        <w:rPr>
          <w:rFonts w:ascii="Times New Roman" w:hAnsi="Times New Roman" w:cs="Times New Roman"/>
          <w:bCs/>
          <w:sz w:val="18"/>
          <w:szCs w:val="18"/>
          <w:vertAlign w:val="subscript"/>
        </w:rPr>
        <w:t xml:space="preserve">3</w:t>
      </w:r>
      <w:r>
        <w:rPr>
          <w:rFonts w:ascii="Times New Roman" w:hAnsi="Times New Roman" w:cs="Times New Roman"/>
          <w:bCs/>
          <w:sz w:val="18"/>
          <w:szCs w:val="18"/>
        </w:rPr>
        <w:t xml:space="preserve">O</w:t>
      </w:r>
      <w:r>
        <w:rPr>
          <w:rFonts w:ascii="Times New Roman" w:hAnsi="Times New Roman" w:cs="Times New Roman"/>
          <w:bCs/>
          <w:sz w:val="18"/>
          <w:szCs w:val="18"/>
          <w:vertAlign w:val="subscript"/>
        </w:rPr>
        <w:t xml:space="preserve">4</w:t>
      </w:r>
      <w:r>
        <w:rPr>
          <w:rFonts w:ascii="Times New Roman" w:hAnsi="Times New Roman" w:cs="Times New Roman"/>
          <w:bCs/>
          <w:sz w:val="18"/>
          <w:szCs w:val="18"/>
        </w:rPr>
        <w:t xml:space="preserve">/</w:t>
      </w:r>
      <w:r>
        <w:rPr>
          <w:rFonts w:ascii="Times New Roman" w:hAnsi="Times New Roman" w:cs="Times New Roman"/>
          <w:bCs/>
          <w:sz w:val="18"/>
          <w:szCs w:val="18"/>
        </w:rPr>
        <w:t xml:space="preserve">N-TiO</w:t>
      </w:r>
      <w:r>
        <w:rPr>
          <w:rFonts w:ascii="Times New Roman" w:hAnsi="Times New Roman" w:cs="Times New Roman"/>
          <w:bCs/>
          <w:sz w:val="18"/>
          <w:szCs w:val="18"/>
          <w:vertAlign w:val="subscript"/>
        </w:rPr>
        <w:t xml:space="preserve">2</w:t>
      </w:r>
      <w:r>
        <w:rPr>
          <w:rFonts w:ascii="Times New Roman" w:hAnsi="Times New Roman" w:cs="Times New Roman"/>
          <w:bCs/>
          <w:sz w:val="18"/>
          <w:szCs w:val="18"/>
        </w:rPr>
        <w:t xml:space="preserve">-</w:t>
      </w:r>
      <w:r>
        <w:rPr>
          <w:rFonts w:ascii="Times New Roman" w:hAnsi="Times New Roman" w:cs="Times New Roman"/>
          <w:bCs/>
          <w:sz w:val="18"/>
          <w:szCs w:val="18"/>
        </w:rPr>
        <w:t xml:space="preserve">1</w:t>
      </w:r>
      <w:r>
        <w:rPr>
          <w:rFonts w:ascii="Times New Roman" w:hAnsi="Times New Roman" w:cs="Times New Roman"/>
          <w:bCs/>
          <w:sz w:val="18"/>
          <w:szCs w:val="18"/>
        </w:rPr>
        <w:t xml:space="preserve">, Fe</w:t>
      </w:r>
      <w:r>
        <w:rPr>
          <w:rFonts w:ascii="Times New Roman" w:hAnsi="Times New Roman" w:cs="Times New Roman"/>
          <w:bCs/>
          <w:sz w:val="18"/>
          <w:szCs w:val="18"/>
          <w:vertAlign w:val="subscript"/>
        </w:rPr>
        <w:t xml:space="preserve">3</w:t>
      </w:r>
      <w:r>
        <w:rPr>
          <w:rFonts w:ascii="Times New Roman" w:hAnsi="Times New Roman" w:cs="Times New Roman"/>
          <w:bCs/>
          <w:sz w:val="18"/>
          <w:szCs w:val="18"/>
        </w:rPr>
        <w:t xml:space="preserve">O</w:t>
      </w:r>
      <w:r>
        <w:rPr>
          <w:rFonts w:ascii="Times New Roman" w:hAnsi="Times New Roman" w:cs="Times New Roman"/>
          <w:bCs/>
          <w:sz w:val="18"/>
          <w:szCs w:val="18"/>
          <w:vertAlign w:val="subscript"/>
        </w:rPr>
        <w:t xml:space="preserve">4</w:t>
      </w:r>
      <w:r>
        <w:rPr>
          <w:rFonts w:ascii="Times New Roman" w:hAnsi="Times New Roman" w:cs="Times New Roman"/>
          <w:bCs/>
          <w:sz w:val="18"/>
          <w:szCs w:val="18"/>
        </w:rPr>
        <w:t xml:space="preserve">/</w:t>
      </w:r>
      <w:r>
        <w:rPr>
          <w:rFonts w:ascii="Times New Roman" w:hAnsi="Times New Roman" w:cs="Times New Roman"/>
          <w:bCs/>
          <w:sz w:val="18"/>
          <w:szCs w:val="18"/>
        </w:rPr>
        <w:t xml:space="preserve">N-TiO</w:t>
      </w:r>
      <w:r>
        <w:rPr>
          <w:rFonts w:ascii="Times New Roman" w:hAnsi="Times New Roman" w:cs="Times New Roman"/>
          <w:bCs/>
          <w:sz w:val="18"/>
          <w:szCs w:val="18"/>
          <w:vertAlign w:val="subscript"/>
        </w:rPr>
        <w:t xml:space="preserve">2</w:t>
      </w:r>
      <w:r>
        <w:rPr>
          <w:rFonts w:ascii="Times New Roman" w:hAnsi="Times New Roman" w:cs="Times New Roman"/>
          <w:bCs/>
          <w:sz w:val="18"/>
          <w:szCs w:val="18"/>
        </w:rPr>
        <w:t xml:space="preserve">-</w:t>
      </w:r>
      <w:r>
        <w:rPr>
          <w:rFonts w:ascii="Times New Roman" w:hAnsi="Times New Roman" w:cs="Times New Roman"/>
          <w:bCs/>
          <w:sz w:val="18"/>
          <w:szCs w:val="18"/>
        </w:rPr>
        <w:t xml:space="preserve">2</w:t>
      </w:r>
      <w:r>
        <w:rPr>
          <w:rFonts w:ascii="Times New Roman" w:hAnsi="Times New Roman" w:cs="Times New Roman"/>
          <w:bCs/>
          <w:sz w:val="18"/>
          <w:szCs w:val="18"/>
        </w:rPr>
        <w:t xml:space="preserve">, Fe</w:t>
      </w:r>
      <w:r>
        <w:rPr>
          <w:rFonts w:ascii="Times New Roman" w:hAnsi="Times New Roman" w:cs="Times New Roman"/>
          <w:bCs/>
          <w:sz w:val="18"/>
          <w:szCs w:val="18"/>
          <w:vertAlign w:val="subscript"/>
        </w:rPr>
        <w:t xml:space="preserve">3</w:t>
      </w:r>
      <w:r>
        <w:rPr>
          <w:rFonts w:ascii="Times New Roman" w:hAnsi="Times New Roman" w:cs="Times New Roman"/>
          <w:bCs/>
          <w:sz w:val="18"/>
          <w:szCs w:val="18"/>
        </w:rPr>
        <w:t xml:space="preserve">O</w:t>
      </w:r>
      <w:r>
        <w:rPr>
          <w:rFonts w:ascii="Times New Roman" w:hAnsi="Times New Roman" w:cs="Times New Roman"/>
          <w:bCs/>
          <w:sz w:val="18"/>
          <w:szCs w:val="18"/>
          <w:vertAlign w:val="subscript"/>
        </w:rPr>
        <w:t xml:space="preserve">4</w:t>
      </w:r>
      <w:r>
        <w:rPr>
          <w:rFonts w:ascii="Times New Roman" w:hAnsi="Times New Roman" w:cs="Times New Roman"/>
          <w:bCs/>
          <w:sz w:val="18"/>
          <w:szCs w:val="18"/>
        </w:rPr>
        <w:t xml:space="preserve">/</w:t>
      </w:r>
      <w:r>
        <w:rPr>
          <w:rFonts w:ascii="Times New Roman" w:hAnsi="Times New Roman" w:cs="Times New Roman"/>
          <w:bCs/>
          <w:sz w:val="18"/>
          <w:szCs w:val="18"/>
        </w:rPr>
        <w:t xml:space="preserve">N-TiO</w:t>
      </w:r>
      <w:r>
        <w:rPr>
          <w:rFonts w:ascii="Times New Roman" w:hAnsi="Times New Roman" w:cs="Times New Roman"/>
          <w:bCs/>
          <w:sz w:val="18"/>
          <w:szCs w:val="18"/>
          <w:vertAlign w:val="subscript"/>
        </w:rPr>
        <w:t xml:space="preserve">2</w:t>
      </w:r>
      <w:r>
        <w:rPr>
          <w:rFonts w:ascii="Times New Roman" w:hAnsi="Times New Roman" w:cs="Times New Roman"/>
          <w:bCs/>
          <w:sz w:val="18"/>
          <w:szCs w:val="18"/>
        </w:rPr>
        <w:t xml:space="preserve">-</w:t>
      </w:r>
      <w:r>
        <w:rPr>
          <w:rFonts w:ascii="Times New Roman" w:hAnsi="Times New Roman" w:cs="Times New Roman"/>
          <w:bCs/>
          <w:sz w:val="18"/>
          <w:szCs w:val="18"/>
        </w:rPr>
        <w:t xml:space="preserve">3</w:t>
      </w:r>
      <w:r>
        <w:rPr>
          <w:rFonts w:ascii="Times New Roman" w:hAnsi="Times New Roman" w:cs="Times New Roman"/>
          <w:bCs/>
          <w:sz w:val="18"/>
          <w:szCs w:val="18"/>
        </w:rPr>
        <w:t xml:space="preserve"> and Fe</w:t>
      </w:r>
      <w:r>
        <w:rPr>
          <w:rFonts w:ascii="Times New Roman" w:hAnsi="Times New Roman" w:cs="Times New Roman"/>
          <w:bCs/>
          <w:sz w:val="18"/>
          <w:szCs w:val="18"/>
          <w:vertAlign w:val="subscript"/>
        </w:rPr>
        <w:t xml:space="preserve">3</w:t>
      </w:r>
      <w:r>
        <w:rPr>
          <w:rFonts w:ascii="Times New Roman" w:hAnsi="Times New Roman" w:cs="Times New Roman"/>
          <w:bCs/>
          <w:sz w:val="18"/>
          <w:szCs w:val="18"/>
        </w:rPr>
        <w:t xml:space="preserve">O</w:t>
      </w:r>
      <w:r>
        <w:rPr>
          <w:rFonts w:ascii="Times New Roman" w:hAnsi="Times New Roman" w:cs="Times New Roman"/>
          <w:bCs/>
          <w:sz w:val="18"/>
          <w:szCs w:val="18"/>
          <w:vertAlign w:val="subscript"/>
        </w:rPr>
        <w:t xml:space="preserve">4</w:t>
      </w:r>
      <w:r>
        <w:rPr>
          <w:rFonts w:ascii="Times New Roman" w:hAnsi="Times New Roman" w:cs="Times New Roman"/>
          <w:bCs/>
          <w:sz w:val="18"/>
          <w:szCs w:val="18"/>
        </w:rPr>
        <w:t xml:space="preserve">/</w:t>
      </w:r>
      <w:r>
        <w:rPr>
          <w:rFonts w:ascii="Times New Roman" w:hAnsi="Times New Roman" w:cs="Times New Roman"/>
          <w:bCs/>
          <w:sz w:val="18"/>
          <w:szCs w:val="18"/>
        </w:rPr>
        <w:t xml:space="preserve">N-TiO</w:t>
      </w:r>
      <w:r>
        <w:rPr>
          <w:rFonts w:ascii="Times New Roman" w:hAnsi="Times New Roman" w:cs="Times New Roman"/>
          <w:bCs/>
          <w:sz w:val="18"/>
          <w:szCs w:val="18"/>
          <w:vertAlign w:val="subscript"/>
        </w:rPr>
        <w:t xml:space="preserve">2</w:t>
      </w:r>
      <w:r>
        <w:rPr>
          <w:rFonts w:ascii="Times New Roman" w:hAnsi="Times New Roman" w:cs="Times New Roman"/>
          <w:bCs/>
          <w:sz w:val="18"/>
          <w:szCs w:val="18"/>
        </w:rPr>
        <w:t xml:space="preserve">-</w:t>
      </w:r>
      <w:r>
        <w:rPr>
          <w:rFonts w:ascii="Times New Roman" w:hAnsi="Times New Roman" w:cs="Times New Roman"/>
          <w:bCs/>
          <w:sz w:val="18"/>
          <w:szCs w:val="18"/>
        </w:rPr>
        <w:t xml:space="preserve">4</w:t>
      </w:r>
      <w:r>
        <w:rPr>
          <w:rFonts w:ascii="Times New Roman" w:hAnsi="Times New Roman" w:cs="Times New Roman"/>
          <w:bCs/>
          <w:sz w:val="18"/>
          <w:szCs w:val="18"/>
        </w:rPr>
        <w:t xml:space="preserve"> photocatalysts with or without external magnetic field. (NMF=no magnetic field, MF=magnetic field (1500 Oe))</w:t>
      </w:r>
      <w:r>
        <w:rPr>
          <w:rFonts w:ascii="Times New Roman" w:hAnsi="Times New Roman" w:cs="Times New Roman"/>
          <w:bCs/>
          <w:sz w:val="18"/>
          <w:szCs w:val="18"/>
        </w:rPr>
        <w:t xml:space="preserve">.</w:t>
      </w:r>
      <w:r>
        <w:rPr>
          <w:rFonts w:ascii="Times New Roman" w:hAnsi="Times New Roman" w:cs="Times New Roman"/>
          <w:bCs/>
          <w:sz w:val="18"/>
          <w:szCs w:val="18"/>
        </w:rPr>
        <w:t xml:space="preserve"> </w:t>
      </w:r>
      <w:r>
        <w:rPr>
          <w:rFonts w:ascii="Times New Roman" w:hAnsi="Times New Roman" w:cs="Times New Roman"/>
          <w:sz w:val="18"/>
          <w:szCs w:val="18"/>
        </w:rPr>
        <w:t xml:space="preserve">The</w:t>
      </w:r>
      <w:r>
        <w:rPr>
          <w:rFonts w:ascii="Times New Roman" w:hAnsi="Times New Roman" w:cs="Times New Roman"/>
          <w:sz w:val="18"/>
          <w:szCs w:val="18"/>
        </w:rPr>
        <w:t xml:space="preserve"> POWS</w:t>
      </w:r>
      <w:r>
        <w:rPr>
          <w:rFonts w:ascii="Times New Roman" w:hAnsi="Times New Roman" w:cs="Times New Roman"/>
          <w:sz w:val="18"/>
          <w:szCs w:val="18"/>
        </w:rPr>
        <w:t xml:space="preserve"> reactions were carried out in a close stainless-steel</w:t>
      </w:r>
      <w:r>
        <w:rPr>
          <w:rFonts w:ascii="Times New Roman" w:hAnsi="Times New Roman" w:cs="Times New Roman" w:hint="eastAsia"/>
          <w:sz w:val="18"/>
          <w:szCs w:val="18"/>
        </w:rPr>
        <w:t xml:space="preserve"> </w:t>
      </w:r>
      <w:r>
        <w:rPr>
          <w:rFonts w:ascii="Times New Roman" w:hAnsi="Times New Roman" w:cs="Times New Roman"/>
          <w:sz w:val="18"/>
          <w:szCs w:val="18"/>
        </w:rPr>
        <w:t xml:space="preserve">autoclave equipped with two quartz windows. In a typical experiment,</w:t>
      </w:r>
      <w:r>
        <w:rPr>
          <w:rFonts w:ascii="Times New Roman" w:hAnsi="Times New Roman" w:cs="Times New Roman"/>
          <w:sz w:val="18"/>
          <w:szCs w:val="18"/>
        </w:rPr>
        <w:t xml:space="preserve"> 1 wt.% Au was deposited onto the photocatalysts via photo-reduction method, and</w:t>
      </w:r>
      <w:r>
        <w:rPr>
          <w:rFonts w:ascii="Times New Roman" w:hAnsi="Times New Roman" w:cs="Times New Roman"/>
          <w:sz w:val="18"/>
          <w:szCs w:val="18"/>
        </w:rPr>
        <w:t xml:space="preserve"> certain amount of </w:t>
      </w:r>
      <w:r>
        <w:rPr>
          <w:rFonts w:ascii="Times New Roman" w:hAnsi="Times New Roman" w:cs="Times New Roman"/>
          <w:sz w:val="18"/>
          <w:szCs w:val="18"/>
        </w:rPr>
        <w:t xml:space="preserve">resulted material</w:t>
      </w:r>
      <w:r>
        <w:rPr>
          <w:rFonts w:ascii="Times New Roman" w:hAnsi="Times New Roman" w:cs="Times New Roman"/>
          <w:sz w:val="18"/>
          <w:szCs w:val="18"/>
        </w:rPr>
        <w:t xml:space="preserve"> which contains 5 mg of TiO</w:t>
      </w:r>
      <w:r>
        <w:rPr>
          <w:rFonts w:ascii="Times New Roman" w:hAnsi="Times New Roman" w:cs="Times New Roman"/>
          <w:sz w:val="18"/>
          <w:szCs w:val="18"/>
          <w:vertAlign w:val="subscript"/>
        </w:rPr>
        <w:t xml:space="preserve">2</w:t>
      </w:r>
      <w:r>
        <w:rPr>
          <w:rFonts w:ascii="Times New Roman" w:hAnsi="Times New Roman" w:cs="Times New Roman" w:hint="eastAsia"/>
          <w:sz w:val="18"/>
          <w:szCs w:val="18"/>
        </w:rPr>
        <w:t xml:space="preserve"> </w:t>
      </w:r>
      <w:r>
        <w:rPr>
          <w:rFonts w:ascii="Times New Roman" w:hAnsi="Times New Roman" w:cs="Times New Roman"/>
          <w:sz w:val="18"/>
          <w:szCs w:val="18"/>
        </w:rPr>
        <w:t xml:space="preserve">is added to 10 mL of</w:t>
      </w:r>
      <w:r>
        <w:rPr>
          <w:rFonts w:ascii="Times New Roman" w:hAnsi="Times New Roman" w:cs="Times New Roman" w:hint="eastAsia"/>
          <w:sz w:val="18"/>
          <w:szCs w:val="18"/>
        </w:rPr>
        <w:t xml:space="preserve"> </w:t>
      </w:r>
      <w:r>
        <w:rPr>
          <w:rFonts w:ascii="Times New Roman" w:hAnsi="Times New Roman" w:cs="Times New Roman"/>
          <w:sz w:val="18"/>
          <w:szCs w:val="18"/>
        </w:rPr>
        <w:t xml:space="preserve">Milli-Q H</w:t>
      </w:r>
      <w:r>
        <w:rPr>
          <w:rFonts w:ascii="Times New Roman" w:hAnsi="Times New Roman" w:cs="Times New Roman"/>
          <w:sz w:val="18"/>
          <w:szCs w:val="18"/>
          <w:vertAlign w:val="subscript"/>
        </w:rPr>
        <w:t xml:space="preserve">2</w:t>
      </w:r>
      <w:r>
        <w:rPr>
          <w:rFonts w:ascii="Times New Roman" w:hAnsi="Times New Roman" w:cs="Times New Roman"/>
          <w:sz w:val="18"/>
          <w:szCs w:val="18"/>
        </w:rPr>
        <w:t xml:space="preserve">O under</w:t>
      </w:r>
      <w:r>
        <w:rPr>
          <w:rFonts w:ascii="Times New Roman" w:hAnsi="Times New Roman" w:cs="Times New Roman"/>
          <w:sz w:val="18"/>
          <w:szCs w:val="18"/>
        </w:rPr>
        <w:t xml:space="preserve"> </w:t>
      </w:r>
      <w:r>
        <w:rPr>
          <w:rFonts w:ascii="Times New Roman" w:hAnsi="Times New Roman" w:cs="Times New Roman"/>
          <w:sz w:val="18"/>
          <w:szCs w:val="18"/>
        </w:rPr>
        <w:t xml:space="preserve">vigorous magnetic stirring (600 rpm); then the autoclave was sealed and heated up to 270 </w:t>
      </w:r>
      <w:r>
        <w:rPr>
          <w:rFonts w:ascii="Times New Roman" w:hAnsi="Times New Roman" w:cs="Times New Roman"/>
          <w:sz w:val="18"/>
          <w:szCs w:val="18"/>
          <w:vertAlign w:val="superscript"/>
        </w:rPr>
        <w:t xml:space="preserve">o</w:t>
      </w:r>
      <w:r>
        <w:rPr>
          <w:rFonts w:ascii="Times New Roman" w:hAnsi="Times New Roman" w:cs="Times New Roman"/>
          <w:sz w:val="18"/>
          <w:szCs w:val="18"/>
        </w:rPr>
        <w:t xml:space="preserve">C.</w:t>
      </w:r>
      <w:r>
        <w:rPr>
          <w:rFonts w:ascii="Times New Roman" w:hAnsi="Times New Roman" w:cs="Times New Roman" w:hint="eastAsia"/>
          <w:sz w:val="18"/>
          <w:szCs w:val="18"/>
        </w:rPr>
        <w:t xml:space="preserve"> </w:t>
      </w:r>
      <w:r>
        <w:rPr>
          <w:rFonts w:ascii="Times New Roman" w:hAnsi="Times New Roman" w:cs="Times New Roman"/>
          <w:sz w:val="18"/>
          <w:szCs w:val="18"/>
        </w:rPr>
        <w:t xml:space="preserve">Tungsten light (70W, </w:t>
      </w:r>
      <w:r>
        <w:rPr>
          <w:rFonts w:ascii="Times New Roman" w:hAnsi="Times New Roman" w:cs="Times New Roman"/>
          <w:sz w:val="18"/>
          <w:szCs w:val="18"/>
        </w:rPr>
        <w:t xml:space="preserve">Glamox</w:t>
      </w:r>
      <w:r>
        <w:rPr>
          <w:rFonts w:ascii="Times New Roman" w:hAnsi="Times New Roman" w:cs="Times New Roman"/>
          <w:sz w:val="18"/>
          <w:szCs w:val="18"/>
        </w:rPr>
        <w:t xml:space="preserve"> Professional 2000) was then applied to provide visible-light irradiation, and external magnetic field was supplied by </w:t>
      </w:r>
      <w:r>
        <w:rPr>
          <w:rFonts w:ascii="Times New Roman" w:hAnsi="Times New Roman" w:cs="Times New Roman" w:hint="eastAsia"/>
          <w:sz w:val="18"/>
          <w:szCs w:val="18"/>
        </w:rPr>
        <w:t xml:space="preserve">a </w:t>
      </w:r>
      <w:r>
        <w:rPr>
          <w:rFonts w:ascii="Times New Roman" w:hAnsi="Times New Roman" w:cs="Times New Roman"/>
          <w:sz w:val="18"/>
          <w:szCs w:val="18"/>
        </w:rPr>
        <w:t xml:space="preserve">permanent magnet. The amounts of hydrogen and oxygen were</w:t>
      </w:r>
      <w:r>
        <w:rPr>
          <w:rFonts w:ascii="Times New Roman" w:hAnsi="Times New Roman" w:cs="Times New Roman" w:hint="eastAsia"/>
          <w:sz w:val="18"/>
          <w:szCs w:val="18"/>
        </w:rPr>
        <w:t xml:space="preserve"> </w:t>
      </w:r>
      <w:r>
        <w:rPr>
          <w:rFonts w:ascii="Times New Roman" w:hAnsi="Times New Roman" w:cs="Times New Roman"/>
          <w:sz w:val="18"/>
          <w:szCs w:val="18"/>
        </w:rPr>
        <w:t xml:space="preserve">measured by gas chromatography (GC) after reactions. More details can be found in Supplementary Information.</w:t>
      </w:r>
      <w:r>
        <w:rPr>
          <w:rFonts w:ascii="Times New Roman" w:hAnsi="Times New Roman" w:cs="Times New Roman" w:hint="eastAsia"/>
          <w:sz w:val="18"/>
          <w:szCs w:val="18"/>
        </w:rPr>
        <w:t xml:space="preserve"> </w:t>
      </w:r>
      <w:r>
        <w:rPr>
          <w:rFonts w:ascii="Times New Roman" w:hAnsi="Times New Roman" w:cs="Times New Roman"/>
          <w:sz w:val="18"/>
          <w:szCs w:val="18"/>
        </w:rPr>
        <w:t xml:space="preserve">Error bars indicate the standard deviation.</w:t>
      </w:r>
      <w:r/>
    </w:p>
    <w:p>
      <w:pPr>
        <w:jc w:val="both"/>
        <w:spacing w:lineRule="exact" w:line="400" w:after="156"/>
        <w:rPr>
          <w:rFonts w:ascii="Times New Roman" w:hAnsi="Times New Roman" w:cs="Times New Roman"/>
          <w:sz w:val="21"/>
          <w:szCs w:val="21"/>
        </w:rPr>
      </w:pPr>
      <w:r>
        <w:rPr>
          <w:rFonts w:ascii="Times New Roman" w:hAnsi="Times New Roman" w:cs="Times New Roman"/>
          <w:sz w:val="21"/>
          <w:szCs w:val="21"/>
        </w:rPr>
      </w:r>
      <w:r/>
    </w:p>
    <w:p>
      <w:pPr>
        <w:jc w:val="both"/>
        <w:spacing w:lineRule="exact" w:line="400" w:after="156"/>
        <w:rPr>
          <w:rFonts w:ascii="Times New Roman" w:hAnsi="Times New Roman" w:cs="Times New Roman"/>
          <w:bCs/>
          <w:sz w:val="21"/>
          <w:szCs w:val="21"/>
        </w:rPr>
      </w:pPr>
      <w:r>
        <w:rPr>
          <w:rFonts w:ascii="Times New Roman" w:hAnsi="Times New Roman" w:cs="Times New Roman"/>
          <w:bCs/>
          <w:sz w:val="21"/>
          <w:szCs w:val="21"/>
        </w:rPr>
        <w:t xml:space="preserve">Time-resolved photoluminescence (TRPL) was </w:t>
      </w:r>
      <w:r>
        <w:rPr>
          <w:rFonts w:ascii="Times New Roman" w:hAnsi="Times New Roman" w:cs="Times New Roman"/>
          <w:bCs/>
          <w:sz w:val="21"/>
          <w:szCs w:val="21"/>
        </w:rPr>
        <w:t xml:space="preserve">then </w:t>
      </w:r>
      <w:r>
        <w:rPr>
          <w:rFonts w:ascii="Times New Roman" w:hAnsi="Times New Roman" w:cs="Times New Roman"/>
          <w:bCs/>
          <w:sz w:val="21"/>
          <w:szCs w:val="21"/>
        </w:rPr>
        <w:t xml:space="preserve">engaged to </w:t>
      </w:r>
      <w:r>
        <w:rPr>
          <w:rFonts w:ascii="Times New Roman" w:hAnsi="Times New Roman" w:cs="Times New Roman"/>
          <w:bCs/>
          <w:sz w:val="21"/>
          <w:szCs w:val="21"/>
        </w:rPr>
        <w:t xml:space="preserve">investigate </w:t>
      </w:r>
      <w:r>
        <w:rPr>
          <w:rFonts w:ascii="Times New Roman" w:hAnsi="Times New Roman" w:cs="Times New Roman"/>
          <w:bCs/>
          <w:sz w:val="21"/>
          <w:szCs w:val="21"/>
        </w:rPr>
        <w:t xml:space="preserve">the charge separation process</w:t>
      </w:r>
      <w:r>
        <w:rPr>
          <w:rFonts w:ascii="Times New Roman" w:hAnsi="Times New Roman" w:cs="Times New Roman"/>
          <w:bCs/>
          <w:sz w:val="21"/>
          <w:szCs w:val="21"/>
        </w:rPr>
        <w:t xml:space="preserve"> with </w:t>
      </w:r>
      <w:r>
        <w:rPr>
          <w:rFonts w:ascii="Times New Roman" w:hAnsi="Times New Roman" w:cs="Times New Roman"/>
          <w:bCs/>
          <w:sz w:val="21"/>
          <w:szCs w:val="21"/>
        </w:rPr>
        <w:t xml:space="preserve">and </w:t>
      </w:r>
      <w:r>
        <w:rPr>
          <w:rFonts w:ascii="Times New Roman" w:hAnsi="Times New Roman" w:cs="Times New Roman"/>
          <w:bCs/>
          <w:sz w:val="21"/>
          <w:szCs w:val="21"/>
        </w:rPr>
        <w:t xml:space="preserve">without the magnetic field. As shown in </w:t>
      </w:r>
      <w:r>
        <w:rPr>
          <w:rFonts w:ascii="Times New Roman" w:hAnsi="Times New Roman" w:cs="Times New Roman"/>
          <w:bCs/>
          <w:color w:val="FF0000"/>
          <w:sz w:val="21"/>
          <w:szCs w:val="21"/>
        </w:rPr>
        <w:t xml:space="preserve">Fig. 3</w:t>
      </w:r>
      <w:r>
        <w:rPr>
          <w:rFonts w:ascii="Times New Roman" w:hAnsi="Times New Roman" w:cs="Times New Roman"/>
          <w:bCs/>
          <w:color w:val="FF0000"/>
          <w:sz w:val="21"/>
          <w:szCs w:val="21"/>
        </w:rPr>
        <w:t xml:space="preserve">a</w:t>
      </w:r>
      <w:r>
        <w:rPr>
          <w:rFonts w:ascii="Times New Roman" w:hAnsi="Times New Roman" w:cs="Times New Roman"/>
          <w:bCs/>
          <w:sz w:val="21"/>
          <w:szCs w:val="21"/>
        </w:rPr>
        <w:t xml:space="preserve"> and </w:t>
      </w:r>
      <w:r>
        <w:rPr>
          <w:rFonts w:ascii="Times New Roman" w:hAnsi="Times New Roman" w:cs="Times New Roman"/>
          <w:bCs/>
          <w:color w:val="FF0000"/>
          <w:sz w:val="21"/>
          <w:szCs w:val="21"/>
        </w:rPr>
        <w:t xml:space="preserve">Fig. 3</w:t>
      </w:r>
      <w:r>
        <w:rPr>
          <w:rFonts w:ascii="Times New Roman" w:hAnsi="Times New Roman" w:cs="Times New Roman"/>
          <w:bCs/>
          <w:color w:val="FF0000"/>
          <w:sz w:val="21"/>
          <w:szCs w:val="21"/>
        </w:rPr>
        <w:t xml:space="preserve">b</w:t>
      </w:r>
      <w:r>
        <w:rPr>
          <w:rFonts w:ascii="Times New Roman" w:hAnsi="Times New Roman" w:cs="Times New Roman"/>
          <w:bCs/>
          <w:sz w:val="21"/>
          <w:szCs w:val="21"/>
        </w:rPr>
        <w:t xml:space="preserve">,</w:t>
      </w:r>
      <w:r>
        <w:rPr>
          <w:rFonts w:ascii="Times New Roman" w:hAnsi="Times New Roman" w:cs="Times New Roman" w:hint="eastAsia"/>
          <w:bCs/>
          <w:sz w:val="21"/>
          <w:szCs w:val="21"/>
        </w:rPr>
        <w:t xml:space="preserve"> </w:t>
      </w:r>
      <w:r>
        <w:rPr>
          <w:rFonts w:ascii="Times New Roman" w:hAnsi="Times New Roman" w:cs="Times New Roman"/>
          <w:bCs/>
          <w:sz w:val="21"/>
          <w:szCs w:val="21"/>
        </w:rPr>
        <w:t xml:space="preserve">it is obvious that both </w:t>
      </w:r>
      <w:r>
        <w:rPr>
          <w:rFonts w:ascii="Times New Roman" w:hAnsi="Times New Roman" w:cs="Times New Roman"/>
          <w:bCs/>
          <w:sz w:val="21"/>
          <w:szCs w:val="21"/>
        </w:rPr>
        <w:t xml:space="preserve">Fe</w:t>
      </w:r>
      <w:r>
        <w:rPr>
          <w:rFonts w:ascii="Times New Roman" w:hAnsi="Times New Roman" w:cs="Times New Roman"/>
          <w:bCs/>
          <w:sz w:val="21"/>
          <w:szCs w:val="21"/>
          <w:vertAlign w:val="subscript"/>
        </w:rPr>
        <w:t xml:space="preserve">3</w:t>
      </w:r>
      <w:r>
        <w:rPr>
          <w:rFonts w:ascii="Times New Roman" w:hAnsi="Times New Roman" w:cs="Times New Roman"/>
          <w:bCs/>
          <w:sz w:val="21"/>
          <w:szCs w:val="21"/>
        </w:rPr>
        <w:t xml:space="preserve">O</w:t>
      </w:r>
      <w:r>
        <w:rPr>
          <w:rFonts w:ascii="Times New Roman" w:hAnsi="Times New Roman" w:cs="Times New Roman"/>
          <w:bCs/>
          <w:sz w:val="21"/>
          <w:szCs w:val="21"/>
          <w:vertAlign w:val="subscript"/>
        </w:rPr>
        <w:t xml:space="preserve">4</w:t>
      </w:r>
      <w:r>
        <w:rPr>
          <w:rFonts w:ascii="Times New Roman" w:hAnsi="Times New Roman" w:cs="Times New Roman"/>
          <w:bCs/>
          <w:sz w:val="21"/>
          <w:szCs w:val="21"/>
        </w:rPr>
        <w:t xml:space="preserve">/N-TiO</w:t>
      </w:r>
      <w:r>
        <w:rPr>
          <w:rFonts w:ascii="Times New Roman" w:hAnsi="Times New Roman" w:cs="Times New Roman"/>
          <w:bCs/>
          <w:sz w:val="21"/>
          <w:szCs w:val="21"/>
          <w:vertAlign w:val="subscript"/>
        </w:rPr>
        <w:t xml:space="preserve">2</w:t>
      </w:r>
      <w:r>
        <w:rPr>
          <w:rFonts w:ascii="Times New Roman" w:hAnsi="Times New Roman" w:cs="Times New Roman"/>
          <w:bCs/>
          <w:sz w:val="21"/>
          <w:szCs w:val="21"/>
        </w:rPr>
        <w:t xml:space="preserve">-</w:t>
      </w:r>
      <w:r>
        <w:rPr>
          <w:rFonts w:ascii="Times New Roman" w:hAnsi="Times New Roman" w:cs="Times New Roman"/>
          <w:bCs/>
          <w:sz w:val="21"/>
          <w:szCs w:val="21"/>
        </w:rPr>
        <w:t xml:space="preserve">2</w:t>
      </w:r>
      <w:r>
        <w:rPr>
          <w:rFonts w:ascii="Times New Roman" w:hAnsi="Times New Roman" w:cs="Times New Roman"/>
          <w:bCs/>
          <w:sz w:val="21"/>
          <w:szCs w:val="21"/>
        </w:rPr>
        <w:t xml:space="preserve"> and N-TiO</w:t>
      </w:r>
      <w:r>
        <w:rPr>
          <w:rFonts w:ascii="Times New Roman" w:hAnsi="Times New Roman" w:cs="Times New Roman"/>
          <w:bCs/>
          <w:sz w:val="21"/>
          <w:szCs w:val="21"/>
          <w:vertAlign w:val="subscript"/>
        </w:rPr>
        <w:t xml:space="preserve">2</w:t>
      </w:r>
      <w:r>
        <w:rPr>
          <w:rFonts w:ascii="Times New Roman" w:hAnsi="Times New Roman" w:cs="Times New Roman"/>
          <w:bCs/>
          <w:sz w:val="21"/>
          <w:szCs w:val="21"/>
        </w:rPr>
        <w:t xml:space="preserve"> show similar exciton lifetimes without external magnetic field, while the exciton lifetime of Fe</w:t>
      </w:r>
      <w:r>
        <w:rPr>
          <w:rFonts w:ascii="Times New Roman" w:hAnsi="Times New Roman" w:cs="Times New Roman"/>
          <w:bCs/>
          <w:sz w:val="21"/>
          <w:szCs w:val="21"/>
          <w:vertAlign w:val="subscript"/>
        </w:rPr>
        <w:t xml:space="preserve">3</w:t>
      </w:r>
      <w:r>
        <w:rPr>
          <w:rFonts w:ascii="Times New Roman" w:hAnsi="Times New Roman" w:cs="Times New Roman"/>
          <w:bCs/>
          <w:sz w:val="21"/>
          <w:szCs w:val="21"/>
        </w:rPr>
        <w:t xml:space="preserve">O</w:t>
      </w:r>
      <w:r>
        <w:rPr>
          <w:rFonts w:ascii="Times New Roman" w:hAnsi="Times New Roman" w:cs="Times New Roman"/>
          <w:bCs/>
          <w:sz w:val="21"/>
          <w:szCs w:val="21"/>
          <w:vertAlign w:val="subscript"/>
        </w:rPr>
        <w:t xml:space="preserve">4</w:t>
      </w:r>
      <w:r>
        <w:rPr>
          <w:rFonts w:ascii="Times New Roman" w:hAnsi="Times New Roman" w:cs="Times New Roman"/>
          <w:bCs/>
          <w:sz w:val="21"/>
          <w:szCs w:val="21"/>
        </w:rPr>
        <w:t xml:space="preserve">/</w:t>
      </w:r>
      <w:r>
        <w:rPr>
          <w:rFonts w:ascii="Times New Roman" w:hAnsi="Times New Roman" w:cs="Times New Roman"/>
          <w:bCs/>
          <w:sz w:val="21"/>
          <w:szCs w:val="21"/>
        </w:rPr>
        <w:t xml:space="preserve">N-TiO</w:t>
      </w:r>
      <w:r>
        <w:rPr>
          <w:rFonts w:ascii="Times New Roman" w:hAnsi="Times New Roman" w:cs="Times New Roman"/>
          <w:bCs/>
          <w:sz w:val="21"/>
          <w:szCs w:val="21"/>
          <w:vertAlign w:val="subscript"/>
        </w:rPr>
        <w:t xml:space="preserve">2</w:t>
      </w:r>
      <w:r>
        <w:rPr>
          <w:rFonts w:ascii="Times New Roman" w:hAnsi="Times New Roman" w:cs="Times New Roman"/>
          <w:bCs/>
          <w:sz w:val="21"/>
          <w:szCs w:val="21"/>
        </w:rPr>
        <w:t xml:space="preserve">-</w:t>
      </w:r>
      <w:r>
        <w:rPr>
          <w:rFonts w:ascii="Times New Roman" w:hAnsi="Times New Roman" w:cs="Times New Roman"/>
          <w:bCs/>
          <w:sz w:val="21"/>
          <w:szCs w:val="21"/>
        </w:rPr>
        <w:t xml:space="preserve">2</w:t>
      </w:r>
      <w:r>
        <w:rPr>
          <w:rFonts w:ascii="Times New Roman" w:hAnsi="Times New Roman" w:cs="Times New Roman"/>
          <w:bCs/>
          <w:sz w:val="21"/>
          <w:szCs w:val="21"/>
        </w:rPr>
        <w:t xml:space="preserve"> was prolonged substantially when the magnetic field exists, and that of the pure N-TiO</w:t>
      </w:r>
      <w:r>
        <w:rPr>
          <w:rFonts w:ascii="Times New Roman" w:hAnsi="Times New Roman" w:cs="Times New Roman"/>
          <w:bCs/>
          <w:sz w:val="21"/>
          <w:szCs w:val="21"/>
          <w:vertAlign w:val="subscript"/>
        </w:rPr>
        <w:t xml:space="preserve">2</w:t>
      </w:r>
      <w:r>
        <w:rPr>
          <w:rFonts w:ascii="Times New Roman" w:hAnsi="Times New Roman" w:cs="Times New Roman"/>
          <w:bCs/>
          <w:sz w:val="21"/>
          <w:szCs w:val="21"/>
        </w:rPr>
        <w:t xml:space="preserve"> remain almost unchanged. Such difference of the response to the magnetic field coincides well with what was observed in the POWS activity tests. </w:t>
      </w:r>
      <w:r>
        <w:rPr>
          <w:rFonts w:ascii="Times New Roman" w:hAnsi="Times New Roman" w:cs="Times New Roman"/>
          <w:bCs/>
          <w:sz w:val="21"/>
          <w:szCs w:val="21"/>
        </w:rPr>
        <w:t xml:space="preserve">Subsequently,</w:t>
      </w:r>
      <w:r>
        <w:rPr>
          <w:rFonts w:ascii="Times New Roman" w:hAnsi="Times New Roman" w:cs="Times New Roman"/>
          <w:bCs/>
          <w:sz w:val="21"/>
          <w:szCs w:val="21"/>
        </w:rPr>
        <w:t xml:space="preserve"> further TRPL experiments were carried out on Fe</w:t>
      </w:r>
      <w:r>
        <w:rPr>
          <w:rFonts w:ascii="Times New Roman" w:hAnsi="Times New Roman" w:cs="Times New Roman"/>
          <w:bCs/>
          <w:sz w:val="21"/>
          <w:szCs w:val="21"/>
          <w:vertAlign w:val="subscript"/>
        </w:rPr>
        <w:t xml:space="preserve">3</w:t>
      </w:r>
      <w:r>
        <w:rPr>
          <w:rFonts w:ascii="Times New Roman" w:hAnsi="Times New Roman" w:cs="Times New Roman"/>
          <w:bCs/>
          <w:sz w:val="21"/>
          <w:szCs w:val="21"/>
        </w:rPr>
        <w:t xml:space="preserve">O</w:t>
      </w:r>
      <w:r>
        <w:rPr>
          <w:rFonts w:ascii="Times New Roman" w:hAnsi="Times New Roman" w:cs="Times New Roman"/>
          <w:bCs/>
          <w:sz w:val="21"/>
          <w:szCs w:val="21"/>
          <w:vertAlign w:val="subscript"/>
        </w:rPr>
        <w:t xml:space="preserve">4</w:t>
      </w:r>
      <w:r>
        <w:rPr>
          <w:rFonts w:ascii="Times New Roman" w:hAnsi="Times New Roman" w:cs="Times New Roman"/>
          <w:bCs/>
          <w:sz w:val="21"/>
          <w:szCs w:val="21"/>
        </w:rPr>
        <w:t xml:space="preserve">/</w:t>
      </w:r>
      <w:r>
        <w:rPr>
          <w:rFonts w:ascii="Times New Roman" w:hAnsi="Times New Roman" w:cs="Times New Roman"/>
          <w:bCs/>
          <w:sz w:val="21"/>
          <w:szCs w:val="21"/>
        </w:rPr>
        <w:t xml:space="preserve">N-TiO</w:t>
      </w:r>
      <w:r>
        <w:rPr>
          <w:rFonts w:ascii="Times New Roman" w:hAnsi="Times New Roman" w:cs="Times New Roman"/>
          <w:bCs/>
          <w:sz w:val="21"/>
          <w:szCs w:val="21"/>
          <w:vertAlign w:val="subscript"/>
        </w:rPr>
        <w:t xml:space="preserve">2</w:t>
      </w:r>
      <w:r>
        <w:rPr>
          <w:rFonts w:ascii="Times New Roman" w:hAnsi="Times New Roman" w:cs="Times New Roman"/>
          <w:bCs/>
          <w:sz w:val="21"/>
          <w:szCs w:val="21"/>
        </w:rPr>
        <w:t xml:space="preserve">-</w:t>
      </w:r>
      <w:r>
        <w:rPr>
          <w:rFonts w:ascii="Times New Roman" w:hAnsi="Times New Roman" w:cs="Times New Roman"/>
          <w:bCs/>
          <w:sz w:val="21"/>
          <w:szCs w:val="21"/>
        </w:rPr>
        <w:t xml:space="preserve">2</w:t>
      </w:r>
      <w:r>
        <w:rPr>
          <w:rFonts w:ascii="Times New Roman" w:hAnsi="Times New Roman" w:cs="Times New Roman"/>
          <w:bCs/>
          <w:sz w:val="21"/>
          <w:szCs w:val="21"/>
        </w:rPr>
        <w:t xml:space="preserve"> photocatalyst under magnetic fields with different strengths as before. Not surprisingly, the exciton lifetime increased with the magnetic field strength, confirming that the exciton lifetime changes </w:t>
      </w:r>
      <w:r>
        <w:rPr>
          <w:rFonts w:ascii="Times New Roman" w:hAnsi="Times New Roman" w:cs="Times New Roman"/>
          <w:bCs/>
          <w:sz w:val="21"/>
          <w:szCs w:val="21"/>
        </w:rPr>
        <w:t xml:space="preserve">in response to the</w:t>
      </w:r>
      <w:r>
        <w:rPr>
          <w:rFonts w:ascii="Times New Roman" w:hAnsi="Times New Roman" w:cs="Times New Roman"/>
          <w:bCs/>
          <w:sz w:val="21"/>
          <w:szCs w:val="21"/>
        </w:rPr>
        <w:t xml:space="preserve"> applied magnetic field </w:t>
      </w:r>
      <w:r>
        <w:rPr>
          <w:rFonts w:ascii="Times New Roman" w:hAnsi="Times New Roman" w:cs="Times New Roman"/>
          <w:bCs/>
          <w:sz w:val="21"/>
          <w:szCs w:val="21"/>
        </w:rPr>
        <w:t xml:space="preserve">which induce different local magnetic field strength, </w:t>
      </w:r>
      <w:r>
        <w:rPr>
          <w:rFonts w:ascii="Times New Roman" w:hAnsi="Times New Roman" w:cs="Times New Roman"/>
          <w:bCs/>
          <w:sz w:val="21"/>
          <w:szCs w:val="21"/>
        </w:rPr>
        <w:t xml:space="preserve">and also indicating that the charge separation process is more supressed under stronger induced magnetic field (</w:t>
      </w:r>
      <w:r>
        <w:rPr>
          <w:rFonts w:ascii="Times New Roman" w:hAnsi="Times New Roman" w:cs="Times New Roman"/>
          <w:bCs/>
          <w:color w:val="FF0000"/>
          <w:sz w:val="21"/>
          <w:szCs w:val="21"/>
        </w:rPr>
        <w:t xml:space="preserve">Fig. 3</w:t>
      </w:r>
      <w:r>
        <w:rPr>
          <w:rFonts w:ascii="Times New Roman" w:hAnsi="Times New Roman" w:cs="Times New Roman"/>
          <w:bCs/>
          <w:color w:val="FF0000"/>
          <w:sz w:val="21"/>
          <w:szCs w:val="21"/>
        </w:rPr>
        <w:t xml:space="preserve">c</w:t>
      </w:r>
      <w:r>
        <w:rPr>
          <w:rFonts w:ascii="Times New Roman" w:hAnsi="Times New Roman" w:cs="Times New Roman"/>
          <w:bCs/>
          <w:sz w:val="21"/>
          <w:szCs w:val="21"/>
        </w:rPr>
        <w:t xml:space="preserve">). </w:t>
      </w:r>
      <w:r/>
    </w:p>
    <w:p>
      <w:pPr>
        <w:jc w:val="both"/>
        <w:spacing w:lineRule="exact" w:line="400" w:after="156"/>
        <w:rPr>
          <w:rFonts w:ascii="Times New Roman" w:hAnsi="Times New Roman" w:cs="Times New Roman"/>
          <w:bCs/>
          <w:sz w:val="21"/>
          <w:szCs w:val="21"/>
        </w:rPr>
      </w:pPr>
      <w:r>
        <w:rPr>
          <w:rFonts w:ascii="Times New Roman" w:hAnsi="Times New Roman" w:cs="Times New Roman"/>
          <w:bCs/>
          <w:sz w:val="21"/>
          <w:szCs w:val="21"/>
        </w:rPr>
      </w:r>
      <w:r/>
    </w:p>
    <w:p>
      <w:pPr>
        <w:jc w:val="both"/>
        <w:spacing w:lineRule="exact" w:line="400" w:after="50"/>
        <w:rPr>
          <w:rFonts w:ascii="Times New Roman" w:hAnsi="Times New Roman" w:cs="Times New Roman"/>
          <w:b/>
          <w:sz w:val="18"/>
          <w:szCs w:val="18"/>
        </w:rPr>
      </w:pPr>
      <w:r>
        <w:rPr>
          <w:rFonts w:ascii="Times New Roman" w:hAnsi="Times New Roman" w:cs="Times New Roman"/>
          <w:b/>
          <w:sz w:val="18"/>
          <w:szCs w:val="18"/>
        </w:rPr>
      </w:r>
      <w:r/>
    </w:p>
    <w:p>
      <w:pPr>
        <w:jc w:val="both"/>
        <w:spacing w:lineRule="exact" w:line="400" w:after="50"/>
        <w:rPr>
          <w:rFonts w:ascii="Times New Roman" w:hAnsi="Times New Roman" w:cs="Times New Roman"/>
          <w:b/>
          <w:sz w:val="18"/>
          <w:szCs w:val="18"/>
        </w:rPr>
      </w:pPr>
      <w:r>
        <w:rPr>
          <w:rFonts w:ascii="Times New Roman" w:hAnsi="Times New Roman" w:cs="Times New Roman"/>
          <w:b/>
          <w:sz w:val="18"/>
          <w:szCs w:val="18"/>
        </w:rPr>
      </w:r>
      <w:r/>
    </w:p>
    <w:p>
      <w:pPr>
        <w:jc w:val="both"/>
        <w:spacing w:lineRule="exact" w:line="400" w:after="50"/>
        <w:rPr>
          <w:rFonts w:ascii="Times New Roman" w:hAnsi="Times New Roman" w:cs="Times New Roman"/>
          <w:b/>
          <w:sz w:val="18"/>
          <w:szCs w:val="18"/>
        </w:rPr>
      </w:pPr>
      <w:r>
        <w:rPr>
          <w:rFonts w:ascii="Times New Roman" w:hAnsi="Times New Roman" w:cs="Times New Roman"/>
          <w:bCs/>
          <w:sz w:val="21"/>
          <w:szCs w:val="21"/>
          <w:lang w:eastAsia="en-GB"/>
        </w:rPr>
        <mc:AlternateContent>
          <mc:Choice Requires="wpg">
            <w:drawing>
              <wp:anchor xmlns:wp="http://schemas.openxmlformats.org/drawingml/2006/wordprocessingDrawing" distT="0" distB="0" distL="114300" distR="114300" simplePos="0" relativeHeight="251651584" behindDoc="0" locked="0" layoutInCell="1" allowOverlap="1">
                <wp:simplePos x="0" y="0"/>
                <wp:positionH relativeFrom="column">
                  <wp:posOffset>182880</wp:posOffset>
                </wp:positionH>
                <wp:positionV relativeFrom="paragraph">
                  <wp:posOffset>285943</wp:posOffset>
                </wp:positionV>
                <wp:extent cx="5400000" cy="1618810"/>
                <wp:effectExtent l="0" t="0" r="0" b="0"/>
                <wp:wrapThrough wrapText="bothSides">
                  <wp:wrapPolygon edited="1">
                    <wp:start x="0" y="0"/>
                    <wp:lineTo x="0" y="21354"/>
                    <wp:lineTo x="21491" y="21354"/>
                    <wp:lineTo x="21491" y="0"/>
                    <wp:lineTo x="0" y="0"/>
                  </wp:wrapPolygon>
                </wp:wrapThrough>
                <wp:docPr id="3" name="图片 4"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_TRPL-1.tif" hidden="0"/>
                        <pic:cNvPicPr>
                          <a:picLocks noChangeAspect="1"/>
                        </pic:cNvPicPr>
                        <pic:nvPr isPhoto="0" userDrawn="0"/>
                      </pic:nvPicPr>
                      <pic:blipFill>
                        <a:blip r:embed="rId14"/>
                        <a:stretch/>
                      </pic:blipFill>
                      <pic:spPr bwMode="auto">
                        <a:xfrm>
                          <a:off x="0" y="0"/>
                          <a:ext cx="5400000" cy="1618810"/>
                        </a:xfrm>
                        <a:prstGeom prst="rect">
                          <a:avLst/>
                        </a:prstGeom>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51651584;o:allowoverlap:true;o:allowincell:true;mso-position-horizontal-relative:text;margin-left:14.4pt;mso-position-horizontal:absolute;mso-position-vertical-relative:text;margin-top:22.5pt;mso-position-vertical:absolute;width:425.2pt;height:127.5pt;" wrapcoords="0 0 0 98861 99495 98861 99495 0 0 0" stroked="false">
                <v:path textboxrect="0,0,0,0"/>
                <v:imagedata r:id="rId14" o:title=""/>
              </v:shape>
            </w:pict>
          </mc:Fallback>
        </mc:AlternateContent>
      </w:r>
      <w:r/>
    </w:p>
    <w:p>
      <w:pPr>
        <w:jc w:val="both"/>
        <w:spacing w:lineRule="exact" w:line="400" w:after="50"/>
        <w:rPr>
          <w:rFonts w:ascii="Times New Roman" w:hAnsi="Times New Roman" w:cs="Times New Roman" w:eastAsia="Times New Roman"/>
          <w:sz w:val="18"/>
          <w:szCs w:val="18"/>
        </w:rPr>
      </w:pPr>
      <w:r>
        <w:rPr>
          <w:rFonts w:ascii="Times New Roman" w:hAnsi="Times New Roman" w:cs="Times New Roman" w:hint="eastAsia"/>
          <w:b/>
          <w:sz w:val="18"/>
          <w:szCs w:val="18"/>
        </w:rPr>
        <w:t xml:space="preserve">F</w:t>
      </w:r>
      <w:r>
        <w:rPr>
          <w:rFonts w:ascii="Times New Roman" w:hAnsi="Times New Roman" w:cs="Times New Roman"/>
          <w:b/>
          <w:sz w:val="18"/>
          <w:szCs w:val="18"/>
        </w:rPr>
        <w:t xml:space="preserve">ig</w:t>
      </w:r>
      <w:r>
        <w:rPr>
          <w:rFonts w:ascii="Times New Roman" w:hAnsi="Times New Roman" w:cs="Times New Roman"/>
          <w:b/>
          <w:sz w:val="18"/>
          <w:szCs w:val="18"/>
        </w:rPr>
        <w:t xml:space="preserve">ure </w:t>
      </w:r>
      <w:r>
        <w:rPr>
          <w:rFonts w:ascii="Times New Roman" w:hAnsi="Times New Roman" w:cs="Times New Roman"/>
          <w:b/>
          <w:sz w:val="18"/>
          <w:szCs w:val="18"/>
        </w:rPr>
        <w:t xml:space="preserve">3 </w:t>
      </w:r>
      <w:r>
        <w:rPr>
          <w:rFonts w:ascii="Times New Roman" w:hAnsi="Times New Roman" w:cs="Times New Roman"/>
          <w:sz w:val="18"/>
          <w:szCs w:val="18"/>
        </w:rPr>
        <w:t xml:space="preserve">Photoluminescence (PL) studies of the magnetic photocatalysts.</w:t>
      </w:r>
      <w:r>
        <w:rPr>
          <w:rFonts w:ascii="Times New Roman" w:hAnsi="Times New Roman" w:cs="Times New Roman"/>
          <w:sz w:val="18"/>
          <w:szCs w:val="18"/>
        </w:rPr>
        <w:t xml:space="preserve"> </w:t>
      </w:r>
      <w:r>
        <w:rPr>
          <w:rFonts w:ascii="Times New Roman" w:hAnsi="Times New Roman" w:cs="Times New Roman"/>
          <w:b/>
          <w:sz w:val="18"/>
          <w:szCs w:val="18"/>
        </w:rPr>
        <w:t xml:space="preserve">a</w:t>
      </w:r>
      <w:r>
        <w:rPr>
          <w:rFonts w:ascii="Times New Roman" w:hAnsi="Times New Roman" w:cs="Times New Roman"/>
          <w:sz w:val="18"/>
          <w:szCs w:val="18"/>
        </w:rPr>
        <w:t xml:space="preserve"> </w:t>
      </w:r>
      <w:r>
        <w:rPr>
          <w:rFonts w:ascii="Times New Roman" w:hAnsi="Times New Roman" w:cs="Times New Roman"/>
          <w:bCs/>
          <w:sz w:val="18"/>
          <w:szCs w:val="18"/>
        </w:rPr>
        <w:t xml:space="preserve">Time-resolved PL spectrum</w:t>
      </w:r>
      <w:r>
        <w:rPr>
          <w:rFonts w:ascii="Times New Roman" w:hAnsi="Times New Roman" w:cs="Times New Roman"/>
          <w:bCs/>
          <w:sz w:val="18"/>
          <w:szCs w:val="18"/>
        </w:rPr>
        <w:t xml:space="preserve"> of N-TiO</w:t>
      </w:r>
      <w:r>
        <w:rPr>
          <w:rFonts w:ascii="Times New Roman" w:hAnsi="Times New Roman" w:cs="Times New Roman"/>
          <w:bCs/>
          <w:sz w:val="18"/>
          <w:szCs w:val="18"/>
          <w:vertAlign w:val="subscript"/>
        </w:rPr>
        <w:t xml:space="preserve">2</w:t>
      </w:r>
      <w:r>
        <w:rPr>
          <w:rFonts w:ascii="Times New Roman" w:hAnsi="Times New Roman" w:cs="Times New Roman"/>
          <w:bCs/>
          <w:sz w:val="18"/>
          <w:szCs w:val="18"/>
          <w:vertAlign w:val="subscript"/>
        </w:rPr>
        <w:t xml:space="preserve"> </w:t>
      </w:r>
      <w:r>
        <w:rPr>
          <w:rFonts w:ascii="Times New Roman" w:hAnsi="Times New Roman" w:cs="Times New Roman"/>
          <w:bCs/>
          <w:sz w:val="18"/>
          <w:szCs w:val="18"/>
        </w:rPr>
        <w:t xml:space="preserve">with or without external field</w:t>
      </w:r>
      <w:r>
        <w:rPr>
          <w:rFonts w:ascii="Times New Roman" w:hAnsi="Times New Roman" w:cs="Times New Roman"/>
          <w:bCs/>
          <w:sz w:val="18"/>
          <w:szCs w:val="18"/>
        </w:rPr>
        <w:t xml:space="preserve">;</w:t>
      </w:r>
      <w:r>
        <w:rPr>
          <w:rFonts w:ascii="Times New Roman" w:hAnsi="Times New Roman" w:cs="Times New Roman"/>
          <w:bCs/>
          <w:sz w:val="18"/>
          <w:szCs w:val="18"/>
        </w:rPr>
        <w:t xml:space="preserve"> </w:t>
      </w:r>
      <w:r>
        <w:rPr>
          <w:rFonts w:ascii="Times New Roman" w:hAnsi="Times New Roman" w:cs="Times New Roman"/>
          <w:b/>
          <w:bCs/>
          <w:sz w:val="18"/>
          <w:szCs w:val="18"/>
        </w:rPr>
        <w:t xml:space="preserve">b</w:t>
      </w:r>
      <w:r>
        <w:rPr>
          <w:rFonts w:ascii="Times New Roman" w:hAnsi="Times New Roman" w:cs="Times New Roman"/>
          <w:bCs/>
          <w:sz w:val="18"/>
          <w:szCs w:val="18"/>
        </w:rPr>
        <w:t xml:space="preserve"> Time-resolved PL spectra of Fe</w:t>
      </w:r>
      <w:r>
        <w:rPr>
          <w:rFonts w:ascii="Times New Roman" w:hAnsi="Times New Roman" w:cs="Times New Roman"/>
          <w:bCs/>
          <w:sz w:val="18"/>
          <w:szCs w:val="18"/>
          <w:vertAlign w:val="subscript"/>
        </w:rPr>
        <w:t xml:space="preserve">3</w:t>
      </w:r>
      <w:r>
        <w:rPr>
          <w:rFonts w:ascii="Times New Roman" w:hAnsi="Times New Roman" w:cs="Times New Roman"/>
          <w:bCs/>
          <w:sz w:val="18"/>
          <w:szCs w:val="18"/>
        </w:rPr>
        <w:t xml:space="preserve">O</w:t>
      </w:r>
      <w:r>
        <w:rPr>
          <w:rFonts w:ascii="Times New Roman" w:hAnsi="Times New Roman" w:cs="Times New Roman"/>
          <w:bCs/>
          <w:sz w:val="18"/>
          <w:szCs w:val="18"/>
          <w:vertAlign w:val="subscript"/>
        </w:rPr>
        <w:t xml:space="preserve">4</w:t>
      </w:r>
      <w:r>
        <w:rPr>
          <w:rFonts w:ascii="Times New Roman" w:hAnsi="Times New Roman" w:cs="Times New Roman"/>
          <w:bCs/>
          <w:sz w:val="18"/>
          <w:szCs w:val="18"/>
        </w:rPr>
        <w:t xml:space="preserve">/</w:t>
      </w:r>
      <w:r>
        <w:rPr>
          <w:rFonts w:ascii="Times New Roman" w:hAnsi="Times New Roman" w:cs="Times New Roman"/>
          <w:bCs/>
          <w:sz w:val="18"/>
          <w:szCs w:val="18"/>
        </w:rPr>
        <w:t xml:space="preserve">N-TiO</w:t>
      </w:r>
      <w:r>
        <w:rPr>
          <w:rFonts w:ascii="Times New Roman" w:hAnsi="Times New Roman" w:cs="Times New Roman"/>
          <w:bCs/>
          <w:sz w:val="18"/>
          <w:szCs w:val="18"/>
          <w:vertAlign w:val="subscript"/>
        </w:rPr>
        <w:t xml:space="preserve">2</w:t>
      </w:r>
      <w:r>
        <w:rPr>
          <w:rFonts w:ascii="Times New Roman" w:hAnsi="Times New Roman" w:cs="Times New Roman"/>
          <w:bCs/>
          <w:sz w:val="18"/>
          <w:szCs w:val="18"/>
        </w:rPr>
        <w:t xml:space="preserve">-</w:t>
      </w:r>
      <w:r>
        <w:rPr>
          <w:rFonts w:ascii="Times New Roman" w:hAnsi="Times New Roman" w:cs="Times New Roman"/>
          <w:bCs/>
          <w:sz w:val="18"/>
          <w:szCs w:val="18"/>
        </w:rPr>
        <w:t xml:space="preserve">2</w:t>
      </w:r>
      <w:r>
        <w:rPr>
          <w:rFonts w:ascii="Times New Roman" w:hAnsi="Times New Roman" w:cs="Times New Roman"/>
          <w:bCs/>
          <w:sz w:val="18"/>
          <w:szCs w:val="18"/>
        </w:rPr>
        <w:t xml:space="preserve"> </w:t>
      </w:r>
      <w:r>
        <w:rPr>
          <w:rFonts w:ascii="Times New Roman" w:hAnsi="Times New Roman" w:cs="Times New Roman"/>
          <w:bCs/>
          <w:sz w:val="18"/>
          <w:szCs w:val="18"/>
        </w:rPr>
        <w:t xml:space="preserve">with or without external field</w:t>
      </w:r>
      <w:r>
        <w:rPr>
          <w:rFonts w:ascii="Times New Roman" w:hAnsi="Times New Roman" w:cs="Times New Roman"/>
          <w:bCs/>
          <w:sz w:val="18"/>
          <w:szCs w:val="18"/>
        </w:rPr>
        <w:t xml:space="preserve">; </w:t>
      </w:r>
      <w:r>
        <w:rPr>
          <w:rFonts w:ascii="Times New Roman" w:hAnsi="Times New Roman" w:cs="Times New Roman"/>
          <w:b/>
          <w:bCs/>
          <w:sz w:val="18"/>
          <w:szCs w:val="18"/>
        </w:rPr>
        <w:t xml:space="preserve">c</w:t>
      </w:r>
      <w:r>
        <w:rPr>
          <w:rFonts w:ascii="Times New Roman" w:hAnsi="Times New Roman" w:cs="Times New Roman"/>
          <w:bCs/>
          <w:sz w:val="18"/>
          <w:szCs w:val="18"/>
        </w:rPr>
        <w:t xml:space="preserve"> Comparison of the time-resolved PL spectra of Fe</w:t>
      </w:r>
      <w:r>
        <w:rPr>
          <w:rFonts w:ascii="Times New Roman" w:hAnsi="Times New Roman" w:cs="Times New Roman"/>
          <w:bCs/>
          <w:sz w:val="18"/>
          <w:szCs w:val="18"/>
          <w:vertAlign w:val="subscript"/>
        </w:rPr>
        <w:t xml:space="preserve">3</w:t>
      </w:r>
      <w:r>
        <w:rPr>
          <w:rFonts w:ascii="Times New Roman" w:hAnsi="Times New Roman" w:cs="Times New Roman"/>
          <w:bCs/>
          <w:sz w:val="18"/>
          <w:szCs w:val="18"/>
        </w:rPr>
        <w:t xml:space="preserve">O</w:t>
      </w:r>
      <w:r>
        <w:rPr>
          <w:rFonts w:ascii="Times New Roman" w:hAnsi="Times New Roman" w:cs="Times New Roman"/>
          <w:bCs/>
          <w:sz w:val="18"/>
          <w:szCs w:val="18"/>
          <w:vertAlign w:val="subscript"/>
        </w:rPr>
        <w:t xml:space="preserve">4</w:t>
      </w:r>
      <w:r>
        <w:rPr>
          <w:rFonts w:ascii="Times New Roman" w:hAnsi="Times New Roman" w:cs="Times New Roman"/>
          <w:bCs/>
          <w:sz w:val="18"/>
          <w:szCs w:val="18"/>
        </w:rPr>
        <w:t xml:space="preserve">/</w:t>
      </w:r>
      <w:r>
        <w:rPr>
          <w:rFonts w:ascii="Times New Roman" w:hAnsi="Times New Roman" w:cs="Times New Roman"/>
          <w:bCs/>
          <w:sz w:val="18"/>
          <w:szCs w:val="18"/>
        </w:rPr>
        <w:t xml:space="preserve">N-TiO</w:t>
      </w:r>
      <w:r>
        <w:rPr>
          <w:rFonts w:ascii="Times New Roman" w:hAnsi="Times New Roman" w:cs="Times New Roman"/>
          <w:bCs/>
          <w:sz w:val="18"/>
          <w:szCs w:val="18"/>
          <w:vertAlign w:val="subscript"/>
        </w:rPr>
        <w:t xml:space="preserve">2</w:t>
      </w:r>
      <w:r>
        <w:rPr>
          <w:rFonts w:ascii="Times New Roman" w:hAnsi="Times New Roman" w:cs="Times New Roman"/>
          <w:bCs/>
          <w:sz w:val="18"/>
          <w:szCs w:val="18"/>
        </w:rPr>
        <w:t xml:space="preserve">-</w:t>
      </w:r>
      <w:r>
        <w:rPr>
          <w:rFonts w:ascii="Times New Roman" w:hAnsi="Times New Roman" w:cs="Times New Roman"/>
          <w:bCs/>
          <w:sz w:val="18"/>
          <w:szCs w:val="18"/>
        </w:rPr>
        <w:t xml:space="preserve">2</w:t>
      </w:r>
      <w:r>
        <w:rPr>
          <w:rFonts w:ascii="Times New Roman" w:hAnsi="Times New Roman" w:cs="Times New Roman"/>
          <w:bCs/>
          <w:sz w:val="18"/>
          <w:szCs w:val="18"/>
        </w:rPr>
        <w:t xml:space="preserve"> under magnetic field of different strengths. (NMF=no magnetic field; MF=magnetic field)</w:t>
      </w:r>
      <w:r>
        <w:rPr>
          <w:rFonts w:ascii="Times New Roman" w:hAnsi="Times New Roman" w:cs="Times New Roman"/>
          <w:bCs/>
          <w:sz w:val="18"/>
          <w:szCs w:val="18"/>
        </w:rPr>
        <w:t xml:space="preserve">.</w:t>
      </w:r>
      <w:r>
        <w:rPr>
          <w:rFonts w:ascii="Times New Roman" w:hAnsi="Times New Roman" w:cs="Times New Roman"/>
          <w:bCs/>
          <w:sz w:val="18"/>
          <w:szCs w:val="18"/>
        </w:rPr>
        <w:t xml:space="preserve"> </w:t>
      </w:r>
      <w:r>
        <w:rPr>
          <w:rFonts w:ascii="Times New Roman" w:hAnsi="Times New Roman" w:cs="Times New Roman"/>
          <w:sz w:val="18"/>
          <w:szCs w:val="18"/>
        </w:rPr>
        <w:t xml:space="preserve">Photoluminescence spectra and corresponding lifetimes of excitons were obtained from a bespoke micro-photoluminescence setup, in which a </w:t>
      </w:r>
      <w:r>
        <w:rPr>
          <w:rFonts w:ascii="Times New Roman" w:hAnsi="Times New Roman" w:cs="Times New Roman"/>
          <w:sz w:val="18"/>
          <w:szCs w:val="18"/>
        </w:rPr>
        <w:t xml:space="preserve">Ti</w:t>
      </w:r>
      <w:r>
        <w:rPr>
          <w:rFonts w:ascii="Times New Roman" w:hAnsi="Times New Roman" w:cs="Times New Roman"/>
          <w:sz w:val="18"/>
          <w:szCs w:val="18"/>
        </w:rPr>
        <w:t xml:space="preserve">-Sapphire laser (λ = 266 nm, pulse duration = 150 fs, repetition rate = 76 MHz) is directed onto the sample. The exciton lifetime is obtained by fitting corresponding background-corrected PL spectrum with a mono-exponential decay function in the form y = A</w:t>
      </w:r>
      <w:r>
        <w:rPr>
          <w:rFonts w:ascii="Times New Roman" w:hAnsi="Times New Roman" w:cs="Times New Roman"/>
          <w:sz w:val="18"/>
          <w:szCs w:val="18"/>
          <w:vertAlign w:val="subscript"/>
        </w:rPr>
        <w:t xml:space="preserve">1</w:t>
      </w:r>
      <w:r>
        <w:rPr>
          <w:rFonts w:ascii="Times New Roman" w:hAnsi="Times New Roman" w:cs="Times New Roman"/>
          <w:sz w:val="18"/>
          <w:szCs w:val="18"/>
        </w:rPr>
        <w:t xml:space="preserve">exp(-x/t</w:t>
      </w:r>
      <w:r>
        <w:rPr>
          <w:rFonts w:ascii="Times New Roman" w:hAnsi="Times New Roman" w:cs="Times New Roman"/>
          <w:sz w:val="18"/>
          <w:szCs w:val="18"/>
          <w:vertAlign w:val="subscript"/>
        </w:rPr>
        <w:t xml:space="preserve">1</w:t>
      </w:r>
      <w:r>
        <w:rPr>
          <w:rFonts w:ascii="Times New Roman" w:hAnsi="Times New Roman" w:cs="Times New Roman"/>
          <w:sz w:val="18"/>
          <w:szCs w:val="18"/>
        </w:rPr>
        <w:t xml:space="preserve">) + y</w:t>
      </w:r>
      <w:r>
        <w:rPr>
          <w:rFonts w:ascii="Times New Roman" w:hAnsi="Times New Roman" w:cs="Times New Roman"/>
          <w:sz w:val="18"/>
          <w:szCs w:val="18"/>
          <w:vertAlign w:val="subscript"/>
        </w:rPr>
        <w:t xml:space="preserve">0</w:t>
      </w:r>
      <w:r>
        <w:rPr>
          <w:rFonts w:ascii="Times New Roman" w:hAnsi="Times New Roman" w:cs="Times New Roman"/>
          <w:sz w:val="18"/>
          <w:szCs w:val="18"/>
        </w:rPr>
        <w:t xml:space="preserve">. Error in the fitting is determined from its least square.</w:t>
      </w:r>
      <w:r/>
    </w:p>
    <w:p>
      <w:pPr>
        <w:jc w:val="both"/>
        <w:spacing w:lineRule="exact" w:line="400" w:after="156"/>
        <w:rPr>
          <w:rFonts w:ascii="Times New Roman" w:hAnsi="Times New Roman" w:cs="Times New Roman"/>
          <w:bCs/>
          <w:sz w:val="21"/>
          <w:szCs w:val="21"/>
        </w:rPr>
      </w:pPr>
      <w:r>
        <w:rPr>
          <w:rFonts w:ascii="Times New Roman" w:hAnsi="Times New Roman" w:cs="Times New Roman"/>
          <w:bCs/>
          <w:sz w:val="21"/>
          <w:szCs w:val="21"/>
        </w:rPr>
      </w:r>
      <w:r/>
    </w:p>
    <w:p>
      <w:pPr>
        <w:jc w:val="both"/>
        <w:spacing w:lineRule="exact" w:line="400" w:after="156"/>
        <w:rPr>
          <w:rFonts w:ascii="Times New Roman" w:hAnsi="Times New Roman" w:cs="Times New Roman"/>
          <w:bCs/>
          <w:sz w:val="21"/>
          <w:szCs w:val="21"/>
        </w:rPr>
      </w:pPr>
      <w:r>
        <w:rPr>
          <w:rFonts w:ascii="Times New Roman" w:hAnsi="Times New Roman" w:cs="Times New Roman"/>
          <w:bCs/>
          <w:sz w:val="21"/>
          <w:szCs w:val="21"/>
        </w:rPr>
        <w:t xml:space="preserve">Photocatalysts with different iron oxide NPs contents were then tested, apparently, all the samples show similar TRPL spectra without external magnetic field (as shown in </w:t>
      </w:r>
      <w:r>
        <w:rPr>
          <w:rFonts w:ascii="Times New Roman" w:hAnsi="Times New Roman" w:cs="Times New Roman"/>
          <w:bCs/>
          <w:color w:val="FF0000"/>
          <w:sz w:val="21"/>
          <w:szCs w:val="21"/>
        </w:rPr>
        <w:t xml:space="preserve">Fig. 4a-d</w:t>
      </w:r>
      <w:r>
        <w:rPr>
          <w:rFonts w:ascii="Times New Roman" w:hAnsi="Times New Roman" w:cs="Times New Roman"/>
          <w:bCs/>
          <w:sz w:val="21"/>
          <w:szCs w:val="21"/>
        </w:rPr>
        <w:t xml:space="preserve">, blue line and </w:t>
      </w:r>
      <w:r>
        <w:rPr>
          <w:rFonts w:ascii="Times New Roman" w:hAnsi="Times New Roman" w:cs="Times New Roman"/>
          <w:bCs/>
          <w:color w:val="FF0000"/>
          <w:sz w:val="21"/>
          <w:szCs w:val="21"/>
        </w:rPr>
        <w:t xml:space="preserve">Fig. 4e</w:t>
      </w:r>
      <w:r>
        <w:rPr>
          <w:rFonts w:ascii="Times New Roman" w:hAnsi="Times New Roman" w:cs="Times New Roman"/>
          <w:bCs/>
          <w:sz w:val="21"/>
          <w:szCs w:val="21"/>
        </w:rPr>
        <w:t xml:space="preserve">). While when measured in a magnetic field of 1500 Oe, TRPL results</w:t>
      </w:r>
      <w:r>
        <w:rPr>
          <w:rFonts w:ascii="Times New Roman" w:hAnsi="Times New Roman" w:cs="Times New Roman" w:hint="eastAsia"/>
          <w:bCs/>
          <w:sz w:val="21"/>
          <w:szCs w:val="21"/>
        </w:rPr>
        <w:t xml:space="preserve"> </w:t>
      </w:r>
      <w:r>
        <w:rPr>
          <w:rFonts w:ascii="Times New Roman" w:hAnsi="Times New Roman" w:cs="Times New Roman"/>
          <w:bCs/>
          <w:sz w:val="21"/>
          <w:szCs w:val="21"/>
        </w:rPr>
        <w:t xml:space="preserve">show that the exciton lifetime was prolonged more substantially with </w:t>
      </w:r>
      <w:r>
        <w:rPr>
          <w:rFonts w:ascii="Times New Roman" w:hAnsi="Times New Roman" w:cs="Times New Roman"/>
          <w:bCs/>
          <w:sz w:val="21"/>
          <w:szCs w:val="21"/>
        </w:rPr>
        <w:t xml:space="preserve">higher content of iron oxide</w:t>
      </w:r>
      <w:r>
        <w:rPr>
          <w:rFonts w:ascii="Times New Roman" w:hAnsi="Times New Roman" w:cs="Times New Roman"/>
          <w:bCs/>
          <w:sz w:val="21"/>
          <w:szCs w:val="21"/>
        </w:rPr>
        <w:t xml:space="preserve"> (</w:t>
      </w:r>
      <w:r>
        <w:rPr>
          <w:rFonts w:ascii="Times New Roman" w:hAnsi="Times New Roman" w:cs="Times New Roman"/>
          <w:bCs/>
          <w:color w:val="FF0000"/>
          <w:sz w:val="21"/>
          <w:szCs w:val="21"/>
        </w:rPr>
        <w:t xml:space="preserve">Fig. 4a-d</w:t>
      </w:r>
      <w:r>
        <w:rPr>
          <w:rFonts w:ascii="Times New Roman" w:hAnsi="Times New Roman" w:cs="Times New Roman"/>
          <w:bCs/>
          <w:sz w:val="21"/>
          <w:szCs w:val="21"/>
        </w:rPr>
        <w:t xml:space="preserve">, red line and </w:t>
      </w:r>
      <w:r>
        <w:rPr>
          <w:rFonts w:ascii="Times New Roman" w:hAnsi="Times New Roman" w:cs="Times New Roman"/>
          <w:bCs/>
          <w:color w:val="FF0000"/>
          <w:sz w:val="21"/>
          <w:szCs w:val="21"/>
        </w:rPr>
        <w:t xml:space="preserve">Fig. 4f</w:t>
      </w:r>
      <w:r>
        <w:rPr>
          <w:rFonts w:ascii="Times New Roman" w:hAnsi="Times New Roman" w:cs="Times New Roman"/>
          <w:bCs/>
          <w:sz w:val="21"/>
          <w:szCs w:val="21"/>
        </w:rPr>
        <w:t xml:space="preserve">), which is in accordance with the previous magnetisation experiments (</w:t>
      </w:r>
      <w:r>
        <w:rPr>
          <w:rFonts w:ascii="Times New Roman" w:hAnsi="Times New Roman" w:cs="Times New Roman"/>
          <w:bCs/>
          <w:color w:val="FF0000"/>
          <w:sz w:val="21"/>
          <w:szCs w:val="21"/>
        </w:rPr>
        <w:t xml:space="preserve">Fig. 2b</w:t>
      </w:r>
      <w:r>
        <w:rPr>
          <w:rFonts w:ascii="Times New Roman" w:hAnsi="Times New Roman" w:cs="Times New Roman"/>
          <w:bCs/>
          <w:sz w:val="21"/>
          <w:szCs w:val="21"/>
        </w:rPr>
        <w:t xml:space="preserve">) and the POWS activity tests (</w:t>
      </w:r>
      <w:r>
        <w:rPr>
          <w:rFonts w:ascii="Times New Roman" w:hAnsi="Times New Roman" w:cs="Times New Roman"/>
          <w:bCs/>
          <w:color w:val="FF0000"/>
          <w:sz w:val="21"/>
          <w:szCs w:val="21"/>
        </w:rPr>
        <w:t xml:space="preserve">Fig. 2c</w:t>
      </w:r>
      <w:r>
        <w:rPr>
          <w:rFonts w:ascii="Times New Roman" w:hAnsi="Times New Roman" w:cs="Times New Roman"/>
          <w:bCs/>
          <w:sz w:val="21"/>
          <w:szCs w:val="21"/>
        </w:rPr>
        <w:t xml:space="preserve">). The above observations indicate that the charge separation process is dominated by the local magnetic field induced by the external static magnetic field, therefore the non-magnetic N-TiO</w:t>
      </w:r>
      <w:r>
        <w:rPr>
          <w:rFonts w:ascii="Times New Roman" w:hAnsi="Times New Roman" w:cs="Times New Roman"/>
          <w:bCs/>
          <w:sz w:val="21"/>
          <w:szCs w:val="21"/>
          <w:vertAlign w:val="subscript"/>
        </w:rPr>
        <w:t xml:space="preserve">2</w:t>
      </w:r>
      <w:r>
        <w:rPr>
          <w:rFonts w:ascii="Times New Roman" w:hAnsi="Times New Roman" w:cs="Times New Roman"/>
          <w:bCs/>
          <w:sz w:val="21"/>
          <w:szCs w:val="21"/>
        </w:rPr>
        <w:t xml:space="preserve"> showed no significant response to the magnetic field. In </w:t>
      </w:r>
      <w:r>
        <w:rPr>
          <w:rFonts w:ascii="Times New Roman" w:hAnsi="Times New Roman" w:cs="Times New Roman"/>
          <w:bCs/>
          <w:sz w:val="21"/>
          <w:szCs w:val="21"/>
        </w:rPr>
        <w:t xml:space="preserve">addition, the MFEs become more substantial </w:t>
      </w:r>
      <w:r>
        <w:rPr>
          <w:rFonts w:ascii="Times New Roman" w:hAnsi="Times New Roman" w:cs="Times New Roman"/>
          <w:bCs/>
          <w:sz w:val="21"/>
          <w:szCs w:val="21"/>
        </w:rPr>
        <w:t xml:space="preserve">when the external magnetic field is stronger, because stronger external</w:t>
      </w:r>
      <w:r>
        <w:rPr>
          <w:rFonts w:ascii="Times New Roman" w:hAnsi="Times New Roman" w:cs="Times New Roman"/>
          <w:bCs/>
          <w:sz w:val="21"/>
          <w:szCs w:val="21"/>
        </w:rPr>
        <w:t xml:space="preserve"> </w:t>
      </w:r>
      <w:r>
        <w:rPr>
          <w:rFonts w:ascii="Times New Roman" w:hAnsi="Times New Roman" w:cs="Times New Roman"/>
          <w:bCs/>
          <w:sz w:val="21"/>
          <w:szCs w:val="21"/>
        </w:rPr>
        <w:t xml:space="preserve">field</w:t>
      </w:r>
      <w:r>
        <w:rPr>
          <w:rFonts w:ascii="Times New Roman" w:hAnsi="Times New Roman" w:cs="Times New Roman"/>
          <w:bCs/>
          <w:sz w:val="21"/>
          <w:szCs w:val="21"/>
        </w:rPr>
        <w:t xml:space="preserve"> </w:t>
      </w:r>
      <w:r>
        <w:rPr>
          <w:rFonts w:ascii="Times New Roman" w:hAnsi="Times New Roman" w:cs="Times New Roman"/>
          <w:bCs/>
          <w:sz w:val="21"/>
          <w:szCs w:val="21"/>
        </w:rPr>
        <w:t xml:space="preserve">induces stronger local magnetic field according to the magnetisation experiments (</w:t>
      </w:r>
      <w:r>
        <w:rPr>
          <w:rFonts w:ascii="Times New Roman" w:hAnsi="Times New Roman" w:cs="Times New Roman"/>
          <w:bCs/>
          <w:color w:val="FF0000"/>
          <w:sz w:val="21"/>
          <w:szCs w:val="21"/>
        </w:rPr>
        <w:t xml:space="preserve">Fig. 2b</w:t>
      </w:r>
      <w:r>
        <w:rPr>
          <w:rFonts w:ascii="Times New Roman" w:hAnsi="Times New Roman" w:cs="Times New Roman"/>
          <w:bCs/>
          <w:sz w:val="21"/>
          <w:szCs w:val="21"/>
        </w:rPr>
        <w:t xml:space="preserve">). This could also explain that for a fixed external field, the samples contain more iron oxide show higher response to the field. </w:t>
      </w:r>
      <w:r/>
    </w:p>
    <w:p>
      <w:pPr>
        <w:jc w:val="both"/>
        <w:spacing w:lineRule="exact" w:line="400" w:after="156"/>
        <w:rPr>
          <w:rFonts w:ascii="Times New Roman" w:hAnsi="Times New Roman" w:cs="Times New Roman"/>
          <w:bCs/>
          <w:sz w:val="21"/>
          <w:szCs w:val="21"/>
        </w:rPr>
      </w:pPr>
      <w:r>
        <w:rPr>
          <w:rFonts w:ascii="Times New Roman" w:hAnsi="Times New Roman" w:cs="Times New Roman"/>
          <w:bCs/>
          <w:sz w:val="21"/>
          <w:szCs w:val="21"/>
        </w:rPr>
        <w:t xml:space="preserve">It is known that </w:t>
      </w:r>
      <w:r>
        <w:rPr>
          <w:rFonts w:ascii="Times New Roman" w:hAnsi="Times New Roman" w:cs="Times New Roman"/>
          <w:bCs/>
          <w:sz w:val="21"/>
          <w:szCs w:val="21"/>
        </w:rPr>
        <w:t xml:space="preserve">charge</w:t>
      </w:r>
      <w:r>
        <w:rPr>
          <w:rFonts w:ascii="Times New Roman" w:hAnsi="Times New Roman" w:cs="Times New Roman"/>
          <w:bCs/>
          <w:sz w:val="21"/>
          <w:szCs w:val="21"/>
        </w:rPr>
        <w:t xml:space="preserve"> bodie</w:t>
      </w:r>
      <w:r>
        <w:rPr>
          <w:rFonts w:ascii="Times New Roman" w:hAnsi="Times New Roman" w:cs="Times New Roman"/>
          <w:bCs/>
          <w:sz w:val="21"/>
          <w:szCs w:val="21"/>
        </w:rPr>
        <w:t xml:space="preserve">s </w:t>
      </w:r>
      <w:r>
        <w:rPr>
          <w:rFonts w:ascii="Times New Roman" w:hAnsi="Times New Roman" w:cs="Times New Roman"/>
          <w:bCs/>
          <w:sz w:val="21"/>
          <w:szCs w:val="21"/>
        </w:rPr>
        <w:t xml:space="preserve">in motion can be affected </w:t>
      </w:r>
      <w:r>
        <w:rPr>
          <w:rFonts w:ascii="Times New Roman" w:hAnsi="Times New Roman" w:cs="Times New Roman"/>
          <w:bCs/>
          <w:sz w:val="21"/>
          <w:szCs w:val="21"/>
        </w:rPr>
        <w:t xml:space="preserve">by Lorentz force </w:t>
      </w:r>
      <w:r>
        <w:rPr>
          <w:rFonts w:ascii="Times New Roman" w:hAnsi="Times New Roman" w:cs="Times New Roman"/>
          <w:bCs/>
          <w:sz w:val="21"/>
          <w:szCs w:val="21"/>
        </w:rPr>
        <w:t xml:space="preserve">by </w:t>
      </w:r>
      <w:r>
        <w:rPr>
          <w:rFonts w:ascii="Times New Roman" w:hAnsi="Times New Roman" w:cs="Times New Roman"/>
          <w:bCs/>
          <w:sz w:val="21"/>
          <w:szCs w:val="21"/>
        </w:rPr>
        <w:t xml:space="preserve">a</w:t>
      </w:r>
      <w:r>
        <w:rPr>
          <w:rFonts w:ascii="Times New Roman" w:hAnsi="Times New Roman" w:cs="Times New Roman"/>
          <w:bCs/>
          <w:sz w:val="21"/>
          <w:szCs w:val="21"/>
        </w:rPr>
        <w:t xml:space="preserve">n external </w:t>
      </w:r>
      <w:r>
        <w:rPr>
          <w:rFonts w:ascii="Times New Roman" w:hAnsi="Times New Roman" w:cs="Times New Roman"/>
          <w:bCs/>
          <w:sz w:val="21"/>
          <w:szCs w:val="21"/>
        </w:rPr>
        <w:t xml:space="preserve">magnetic field, and the </w:t>
      </w:r>
      <w:r>
        <w:rPr>
          <w:rFonts w:ascii="Times New Roman" w:hAnsi="Times New Roman" w:cs="Times New Roman"/>
          <w:bCs/>
          <w:sz w:val="21"/>
          <w:szCs w:val="21"/>
        </w:rPr>
        <w:t xml:space="preserve">excited </w:t>
      </w:r>
      <w:r>
        <w:rPr>
          <w:rFonts w:ascii="Times New Roman" w:hAnsi="Times New Roman" w:cs="Times New Roman"/>
          <w:bCs/>
          <w:sz w:val="21"/>
          <w:szCs w:val="21"/>
        </w:rPr>
        <w:t xml:space="preserve">negatively </w:t>
      </w:r>
      <w:r>
        <w:rPr>
          <w:rFonts w:ascii="Times New Roman" w:hAnsi="Times New Roman" w:cs="Times New Roman"/>
          <w:bCs/>
          <w:sz w:val="21"/>
          <w:szCs w:val="21"/>
        </w:rPr>
        <w:t xml:space="preserve">electrons and </w:t>
      </w:r>
      <w:r>
        <w:rPr>
          <w:rFonts w:ascii="Times New Roman" w:hAnsi="Times New Roman" w:cs="Times New Roman"/>
          <w:bCs/>
          <w:sz w:val="21"/>
          <w:szCs w:val="21"/>
        </w:rPr>
        <w:t xml:space="preserve">positively </w:t>
      </w:r>
      <w:r>
        <w:rPr>
          <w:rFonts w:ascii="Times New Roman" w:hAnsi="Times New Roman" w:cs="Times New Roman"/>
          <w:bCs/>
          <w:sz w:val="21"/>
          <w:szCs w:val="21"/>
        </w:rPr>
        <w:t xml:space="preserve">holes </w:t>
      </w:r>
      <w:r>
        <w:rPr>
          <w:rFonts w:ascii="Times New Roman" w:hAnsi="Times New Roman" w:cs="Times New Roman"/>
          <w:bCs/>
          <w:sz w:val="21"/>
          <w:szCs w:val="21"/>
        </w:rPr>
        <w:t xml:space="preserve">of the coated N-TiO</w:t>
      </w:r>
      <w:r>
        <w:rPr>
          <w:rFonts w:ascii="Times New Roman" w:hAnsi="Times New Roman" w:cs="Times New Roman"/>
          <w:bCs/>
          <w:sz w:val="21"/>
          <w:szCs w:val="21"/>
          <w:vertAlign w:val="subscript"/>
        </w:rPr>
        <w:t xml:space="preserve">2</w:t>
      </w:r>
      <w:r>
        <w:rPr>
          <w:rFonts w:ascii="Times New Roman" w:hAnsi="Times New Roman" w:cs="Times New Roman"/>
          <w:bCs/>
          <w:sz w:val="21"/>
          <w:szCs w:val="21"/>
          <w:vertAlign w:val="subscript"/>
        </w:rPr>
        <w:t xml:space="preserve"> </w:t>
      </w:r>
      <w:r>
        <w:rPr>
          <w:rFonts w:ascii="Times New Roman" w:hAnsi="Times New Roman" w:cs="Times New Roman"/>
          <w:bCs/>
          <w:sz w:val="21"/>
          <w:szCs w:val="21"/>
        </w:rPr>
        <w:t xml:space="preserve">encapsulated on the magnetite NPs </w:t>
      </w:r>
      <w:r>
        <w:rPr>
          <w:rFonts w:ascii="Times New Roman" w:hAnsi="Times New Roman" w:cs="Times New Roman"/>
          <w:bCs/>
          <w:sz w:val="21"/>
          <w:szCs w:val="21"/>
        </w:rPr>
        <w:t xml:space="preserve">at close proximity </w:t>
      </w:r>
      <w:r>
        <w:rPr>
          <w:rFonts w:ascii="Times New Roman" w:hAnsi="Times New Roman" w:cs="Times New Roman"/>
          <w:bCs/>
          <w:sz w:val="21"/>
          <w:szCs w:val="21"/>
        </w:rPr>
        <w:t xml:space="preserve">will </w:t>
      </w:r>
      <w:r>
        <w:rPr>
          <w:rFonts w:ascii="Times New Roman" w:hAnsi="Times New Roman" w:cs="Times New Roman"/>
          <w:bCs/>
          <w:sz w:val="21"/>
          <w:szCs w:val="21"/>
        </w:rPr>
        <w:t xml:space="preserve">experience </w:t>
      </w:r>
      <w:r>
        <w:rPr>
          <w:rFonts w:ascii="Times New Roman" w:hAnsi="Times New Roman" w:cs="Times New Roman"/>
          <w:bCs/>
          <w:sz w:val="21"/>
          <w:szCs w:val="21"/>
        </w:rPr>
        <w:t xml:space="preserve">the </w:t>
      </w:r>
      <w:r>
        <w:rPr>
          <w:rFonts w:ascii="Times New Roman" w:hAnsi="Times New Roman" w:cs="Times New Roman"/>
          <w:bCs/>
          <w:sz w:val="21"/>
          <w:szCs w:val="21"/>
        </w:rPr>
        <w:t xml:space="preserve">Lorentz forces </w:t>
      </w:r>
      <w:r>
        <w:rPr>
          <w:rFonts w:ascii="Times New Roman" w:hAnsi="Times New Roman" w:cs="Times New Roman"/>
          <w:bCs/>
          <w:sz w:val="21"/>
          <w:szCs w:val="21"/>
        </w:rPr>
        <w:t xml:space="preserve">in </w:t>
      </w:r>
      <w:r>
        <w:rPr>
          <w:rFonts w:ascii="Times New Roman" w:hAnsi="Times New Roman" w:cs="Times New Roman"/>
          <w:bCs/>
          <w:sz w:val="21"/>
          <w:szCs w:val="21"/>
        </w:rPr>
        <w:t xml:space="preserve">opposite direction</w:t>
      </w:r>
      <w:r>
        <w:rPr>
          <w:rFonts w:ascii="Times New Roman" w:hAnsi="Times New Roman" w:cs="Times New Roman"/>
          <w:bCs/>
          <w:sz w:val="21"/>
          <w:szCs w:val="21"/>
        </w:rPr>
        <w:t xml:space="preserve"> with </w:t>
      </w:r>
      <w:r>
        <w:rPr>
          <w:rFonts w:ascii="Times New Roman" w:hAnsi="Times New Roman" w:cs="Times New Roman"/>
          <w:bCs/>
          <w:sz w:val="21"/>
          <w:szCs w:val="21"/>
        </w:rPr>
        <w:t xml:space="preserve">a stronger local magnetic field (</w:t>
      </w:r>
      <w:r>
        <w:rPr>
          <w:rFonts w:ascii="Times New Roman" w:hAnsi="Times New Roman" w:cs="Times New Roman"/>
          <w:bCs/>
          <w:sz w:val="21"/>
          <w:szCs w:val="21"/>
        </w:rPr>
        <w:t xml:space="preserve">(see </w:t>
      </w:r>
      <w:r>
        <w:rPr>
          <w:rFonts w:ascii="Times New Roman" w:hAnsi="Times New Roman" w:cs="Times New Roman"/>
          <w:bCs/>
          <w:color w:val="FF0000"/>
          <w:sz w:val="21"/>
          <w:szCs w:val="21"/>
        </w:rPr>
        <w:t xml:space="preserve">Supplementary Fig. 11</w:t>
      </w:r>
      <w:r>
        <w:rPr>
          <w:rFonts w:ascii="Times New Roman" w:hAnsi="Times New Roman" w:cs="Times New Roman"/>
          <w:bCs/>
          <w:sz w:val="21"/>
          <w:szCs w:val="21"/>
        </w:rPr>
        <w:t xml:space="preserve">)</w:t>
      </w:r>
      <w:r>
        <w:rPr>
          <w:rFonts w:ascii="Times New Roman" w:hAnsi="Times New Roman" w:cs="Times New Roman"/>
          <w:bCs/>
          <w:sz w:val="21"/>
          <w:szCs w:val="21"/>
        </w:rPr>
        <w:t xml:space="preserve"> </w:t>
      </w:r>
      <w:r>
        <w:rPr>
          <w:rFonts w:ascii="Times New Roman" w:hAnsi="Times New Roman" w:cs="Times New Roman"/>
          <w:bCs/>
          <w:sz w:val="21"/>
          <w:szCs w:val="21"/>
        </w:rPr>
        <w:t xml:space="preserve">to account </w:t>
      </w:r>
      <w:r>
        <w:rPr>
          <w:rFonts w:ascii="Times New Roman" w:hAnsi="Times New Roman" w:cs="Times New Roman"/>
          <w:bCs/>
          <w:sz w:val="21"/>
          <w:szCs w:val="21"/>
        </w:rPr>
        <w:t xml:space="preserve">for their longer </w:t>
      </w:r>
      <w:r>
        <w:rPr>
          <w:rFonts w:ascii="Times New Roman" w:hAnsi="Times New Roman" w:cs="Times New Roman"/>
          <w:bCs/>
          <w:sz w:val="21"/>
          <w:szCs w:val="21"/>
        </w:rPr>
        <w:t xml:space="preserve">recombination </w:t>
      </w:r>
      <w:r>
        <w:rPr>
          <w:rFonts w:ascii="Times New Roman" w:hAnsi="Times New Roman" w:cs="Times New Roman"/>
          <w:bCs/>
          <w:sz w:val="21"/>
          <w:szCs w:val="21"/>
        </w:rPr>
        <w:t xml:space="preserve">lifetime</w:t>
      </w:r>
      <w:r>
        <w:rPr>
          <w:rFonts w:ascii="Times New Roman" w:hAnsi="Times New Roman" w:cs="Times New Roman"/>
          <w:bCs/>
          <w:sz w:val="21"/>
          <w:szCs w:val="21"/>
        </w:rPr>
        <w:t xml:space="preserve">s</w:t>
      </w:r>
      <w:r>
        <w:rPr>
          <w:rFonts w:ascii="Times New Roman" w:hAnsi="Times New Roman" w:cs="Times New Roman"/>
          <w:bCs/>
          <w:sz w:val="21"/>
          <w:szCs w:val="21"/>
        </w:rPr>
        <w:t xml:space="preserve">. </w:t>
      </w:r>
      <w:r/>
    </w:p>
    <w:p>
      <w:pPr>
        <w:jc w:val="both"/>
        <w:spacing w:lineRule="exact" w:line="400" w:after="156"/>
        <w:rPr>
          <w:rFonts w:ascii="Times New Roman" w:hAnsi="Times New Roman" w:cs="Times New Roman"/>
          <w:bCs/>
          <w:sz w:val="21"/>
          <w:szCs w:val="21"/>
        </w:rPr>
      </w:pPr>
      <w:r>
        <w:rPr>
          <w:rFonts w:ascii="Times New Roman" w:hAnsi="Times New Roman" w:cs="Times New Roman"/>
          <w:bCs/>
          <w:sz w:val="21"/>
          <w:szCs w:val="21"/>
        </w:rPr>
      </w:r>
      <w:r/>
    </w:p>
    <w:p>
      <w:pPr>
        <w:jc w:val="both"/>
        <w:spacing w:lineRule="exact" w:line="400" w:after="156"/>
        <w:rPr>
          <w:rFonts w:ascii="Times New Roman" w:hAnsi="Times New Roman" w:cs="Times New Roman"/>
          <w:bCs/>
          <w:sz w:val="21"/>
          <w:szCs w:val="21"/>
        </w:rPr>
      </w:pPr>
      <w:r>
        <w:rPr>
          <w:rFonts w:ascii="Times New Roman" w:hAnsi="Times New Roman" w:cs="Times New Roman"/>
          <w:bCs/>
          <w:sz w:val="21"/>
          <w:szCs w:val="21"/>
          <w:lang w:eastAsia="en-GB"/>
        </w:rPr>
        <mc:AlternateContent>
          <mc:Choice Requires="wpg">
            <w:drawing>
              <wp:anchor xmlns:wp="http://schemas.openxmlformats.org/drawingml/2006/wordprocessingDrawing" distT="0" distB="0" distL="114300" distR="114300" simplePos="0" relativeHeight="251655680" behindDoc="1" locked="0" layoutInCell="1" allowOverlap="1">
                <wp:simplePos x="0" y="0"/>
                <wp:positionH relativeFrom="column">
                  <wp:posOffset>175260</wp:posOffset>
                </wp:positionH>
                <wp:positionV relativeFrom="paragraph">
                  <wp:posOffset>296545</wp:posOffset>
                </wp:positionV>
                <wp:extent cx="5400000" cy="3329305"/>
                <wp:effectExtent l="0" t="0" r="0" b="0"/>
                <wp:wrapThrough wrapText="bothSides">
                  <wp:wrapPolygon edited="1">
                    <wp:start x="0" y="0"/>
                    <wp:lineTo x="0" y="21505"/>
                    <wp:lineTo x="21491" y="21505"/>
                    <wp:lineTo x="21491" y="0"/>
                    <wp:lineTo x="0" y="0"/>
                  </wp:wrapPolygon>
                </wp:wrapThrough>
                <wp:docPr id="4" name="图片 2"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4_TRPL-2.tif" hidden="0"/>
                        <pic:cNvPicPr>
                          <a:picLocks noChangeAspect="1"/>
                        </pic:cNvPicPr>
                        <pic:nvPr isPhoto="0" userDrawn="0"/>
                      </pic:nvPicPr>
                      <pic:blipFill>
                        <a:blip r:embed="rId15"/>
                        <a:stretch/>
                      </pic:blipFill>
                      <pic:spPr bwMode="auto">
                        <a:xfrm>
                          <a:off x="0" y="0"/>
                          <a:ext cx="5400000" cy="3329305"/>
                        </a:xfrm>
                        <a:prstGeom prst="rect">
                          <a:avLst/>
                        </a:prstGeom>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55680;o:allowoverlap:true;o:allowincell:true;mso-position-horizontal-relative:text;margin-left:13.8pt;mso-position-horizontal:absolute;mso-position-vertical-relative:text;margin-top:23.3pt;mso-position-vertical:absolute;width:425.2pt;height:262.1pt;" wrapcoords="0 0 0 99560 99495 99560 99495 0 0 0" stroked="false">
                <v:path textboxrect="0,0,0,0"/>
                <v:imagedata r:id="rId15" o:title=""/>
              </v:shape>
            </w:pict>
          </mc:Fallback>
        </mc:AlternateContent>
      </w:r>
      <w:r/>
    </w:p>
    <w:p>
      <w:pPr>
        <w:jc w:val="both"/>
        <w:spacing w:lineRule="exact" w:line="400" w:after="156"/>
        <w:rPr>
          <w:rFonts w:ascii="Times New Roman" w:hAnsi="Times New Roman" w:cs="Times New Roman"/>
          <w:bCs/>
          <w:sz w:val="18"/>
          <w:szCs w:val="18"/>
        </w:rPr>
      </w:pPr>
      <w:r>
        <w:rPr>
          <w:rFonts w:ascii="Times New Roman" w:hAnsi="Times New Roman" w:cs="Times New Roman" w:hint="eastAsia"/>
          <w:b/>
          <w:sz w:val="18"/>
          <w:szCs w:val="18"/>
        </w:rPr>
        <w:t xml:space="preserve">F</w:t>
      </w:r>
      <w:r>
        <w:rPr>
          <w:rFonts w:ascii="Times New Roman" w:hAnsi="Times New Roman" w:cs="Times New Roman"/>
          <w:b/>
          <w:sz w:val="18"/>
          <w:szCs w:val="18"/>
        </w:rPr>
        <w:t xml:space="preserve">ig</w:t>
      </w:r>
      <w:r>
        <w:rPr>
          <w:rFonts w:ascii="Times New Roman" w:hAnsi="Times New Roman" w:cs="Times New Roman"/>
          <w:b/>
          <w:sz w:val="18"/>
          <w:szCs w:val="18"/>
        </w:rPr>
        <w:t xml:space="preserve">ure</w:t>
      </w:r>
      <w:r>
        <w:rPr>
          <w:rFonts w:ascii="Times New Roman" w:hAnsi="Times New Roman" w:cs="Times New Roman"/>
          <w:b/>
          <w:sz w:val="18"/>
          <w:szCs w:val="18"/>
        </w:rPr>
        <w:t xml:space="preserve"> 4</w:t>
      </w:r>
      <w:r>
        <w:rPr>
          <w:rFonts w:ascii="Times New Roman" w:hAnsi="Times New Roman" w:cs="Times New Roman"/>
          <w:b/>
          <w:sz w:val="18"/>
          <w:szCs w:val="18"/>
        </w:rPr>
        <w:t xml:space="preserve"> </w:t>
      </w:r>
      <w:r>
        <w:rPr>
          <w:rFonts w:ascii="Times New Roman" w:hAnsi="Times New Roman" w:cs="Times New Roman"/>
          <w:sz w:val="18"/>
          <w:szCs w:val="18"/>
        </w:rPr>
        <w:t xml:space="preserve">Time-resolved Photoluminescence study of the </w:t>
      </w:r>
      <w:r>
        <w:rPr>
          <w:rFonts w:ascii="Times New Roman" w:hAnsi="Times New Roman" w:cs="Times New Roman"/>
          <w:bCs/>
          <w:sz w:val="18"/>
          <w:szCs w:val="18"/>
        </w:rPr>
        <w:t xml:space="preserve">Fe</w:t>
      </w:r>
      <w:r>
        <w:rPr>
          <w:rFonts w:ascii="Times New Roman" w:hAnsi="Times New Roman" w:cs="Times New Roman"/>
          <w:bCs/>
          <w:sz w:val="18"/>
          <w:szCs w:val="18"/>
          <w:vertAlign w:val="subscript"/>
        </w:rPr>
        <w:t xml:space="preserve">3</w:t>
      </w:r>
      <w:r>
        <w:rPr>
          <w:rFonts w:ascii="Times New Roman" w:hAnsi="Times New Roman" w:cs="Times New Roman"/>
          <w:bCs/>
          <w:sz w:val="18"/>
          <w:szCs w:val="18"/>
        </w:rPr>
        <w:t xml:space="preserve">O</w:t>
      </w:r>
      <w:r>
        <w:rPr>
          <w:rFonts w:ascii="Times New Roman" w:hAnsi="Times New Roman" w:cs="Times New Roman"/>
          <w:bCs/>
          <w:sz w:val="18"/>
          <w:szCs w:val="18"/>
          <w:vertAlign w:val="subscript"/>
        </w:rPr>
        <w:t xml:space="preserve">4</w:t>
      </w:r>
      <w:r>
        <w:rPr>
          <w:rFonts w:ascii="Times New Roman" w:hAnsi="Times New Roman" w:cs="Times New Roman"/>
          <w:bCs/>
          <w:sz w:val="18"/>
          <w:szCs w:val="18"/>
        </w:rPr>
        <w:t xml:space="preserve">/</w:t>
      </w:r>
      <w:r>
        <w:rPr>
          <w:rFonts w:ascii="Times New Roman" w:hAnsi="Times New Roman" w:cs="Times New Roman"/>
          <w:bCs/>
          <w:sz w:val="18"/>
          <w:szCs w:val="18"/>
        </w:rPr>
        <w:t xml:space="preserve">N-TiO</w:t>
      </w:r>
      <w:r>
        <w:rPr>
          <w:rFonts w:ascii="Times New Roman" w:hAnsi="Times New Roman" w:cs="Times New Roman"/>
          <w:bCs/>
          <w:sz w:val="18"/>
          <w:szCs w:val="18"/>
          <w:vertAlign w:val="subscript"/>
        </w:rPr>
        <w:t xml:space="preserve">2 </w:t>
      </w:r>
      <w:r>
        <w:rPr>
          <w:rFonts w:ascii="Times New Roman" w:hAnsi="Times New Roman" w:cs="Times New Roman"/>
          <w:bCs/>
          <w:sz w:val="18"/>
          <w:szCs w:val="18"/>
        </w:rPr>
        <w:t xml:space="preserve">materials. Time-resolved photoluminescence (TRPL) spectra of </w:t>
      </w:r>
      <w:r>
        <w:rPr>
          <w:rFonts w:ascii="Times New Roman" w:hAnsi="Times New Roman" w:cs="Times New Roman"/>
          <w:b/>
          <w:bCs/>
          <w:sz w:val="18"/>
          <w:szCs w:val="18"/>
        </w:rPr>
        <w:t xml:space="preserve">a</w:t>
      </w:r>
      <w:r>
        <w:rPr>
          <w:rFonts w:ascii="Times New Roman" w:hAnsi="Times New Roman" w:cs="Times New Roman"/>
          <w:bCs/>
          <w:sz w:val="18"/>
          <w:szCs w:val="18"/>
        </w:rPr>
        <w:t xml:space="preserve"> Fe</w:t>
      </w:r>
      <w:r>
        <w:rPr>
          <w:rFonts w:ascii="Times New Roman" w:hAnsi="Times New Roman" w:cs="Times New Roman"/>
          <w:bCs/>
          <w:sz w:val="18"/>
          <w:szCs w:val="18"/>
          <w:vertAlign w:val="subscript"/>
        </w:rPr>
        <w:t xml:space="preserve">3</w:t>
      </w:r>
      <w:r>
        <w:rPr>
          <w:rFonts w:ascii="Times New Roman" w:hAnsi="Times New Roman" w:cs="Times New Roman"/>
          <w:bCs/>
          <w:sz w:val="18"/>
          <w:szCs w:val="18"/>
        </w:rPr>
        <w:t xml:space="preserve">O</w:t>
      </w:r>
      <w:r>
        <w:rPr>
          <w:rFonts w:ascii="Times New Roman" w:hAnsi="Times New Roman" w:cs="Times New Roman"/>
          <w:bCs/>
          <w:sz w:val="18"/>
          <w:szCs w:val="18"/>
          <w:vertAlign w:val="subscript"/>
        </w:rPr>
        <w:t xml:space="preserve">4</w:t>
      </w:r>
      <w:r>
        <w:rPr>
          <w:rFonts w:ascii="Times New Roman" w:hAnsi="Times New Roman" w:cs="Times New Roman"/>
          <w:bCs/>
          <w:sz w:val="18"/>
          <w:szCs w:val="18"/>
        </w:rPr>
        <w:t xml:space="preserve">/</w:t>
      </w:r>
      <w:r>
        <w:rPr>
          <w:rFonts w:ascii="Times New Roman" w:hAnsi="Times New Roman" w:cs="Times New Roman"/>
          <w:bCs/>
          <w:sz w:val="18"/>
          <w:szCs w:val="18"/>
        </w:rPr>
        <w:t xml:space="preserve">N-TiO</w:t>
      </w:r>
      <w:r>
        <w:rPr>
          <w:rFonts w:ascii="Times New Roman" w:hAnsi="Times New Roman" w:cs="Times New Roman"/>
          <w:bCs/>
          <w:sz w:val="18"/>
          <w:szCs w:val="18"/>
          <w:vertAlign w:val="subscript"/>
        </w:rPr>
        <w:t xml:space="preserve">2</w:t>
      </w:r>
      <w:r>
        <w:rPr>
          <w:rFonts w:ascii="Times New Roman" w:hAnsi="Times New Roman" w:cs="Times New Roman"/>
          <w:bCs/>
          <w:sz w:val="18"/>
          <w:szCs w:val="18"/>
        </w:rPr>
        <w:t xml:space="preserve">-</w:t>
      </w:r>
      <w:r>
        <w:rPr>
          <w:rFonts w:ascii="Times New Roman" w:hAnsi="Times New Roman" w:cs="Times New Roman"/>
          <w:bCs/>
          <w:sz w:val="18"/>
          <w:szCs w:val="18"/>
        </w:rPr>
        <w:t xml:space="preserve">1</w:t>
      </w:r>
      <w:r>
        <w:rPr>
          <w:rFonts w:ascii="Times New Roman" w:hAnsi="Times New Roman" w:cs="Times New Roman"/>
          <w:bCs/>
          <w:sz w:val="18"/>
          <w:szCs w:val="18"/>
        </w:rPr>
        <w:t xml:space="preserve">, </w:t>
      </w:r>
      <w:r>
        <w:rPr>
          <w:rFonts w:ascii="Times New Roman" w:hAnsi="Times New Roman" w:cs="Times New Roman"/>
          <w:b/>
          <w:bCs/>
          <w:sz w:val="18"/>
          <w:szCs w:val="18"/>
        </w:rPr>
        <w:t xml:space="preserve">b</w:t>
      </w:r>
      <w:r>
        <w:rPr>
          <w:rFonts w:ascii="Times New Roman" w:hAnsi="Times New Roman" w:cs="Times New Roman"/>
          <w:bCs/>
          <w:sz w:val="18"/>
          <w:szCs w:val="18"/>
        </w:rPr>
        <w:t xml:space="preserve"> Fe</w:t>
      </w:r>
      <w:r>
        <w:rPr>
          <w:rFonts w:ascii="Times New Roman" w:hAnsi="Times New Roman" w:cs="Times New Roman"/>
          <w:bCs/>
          <w:sz w:val="18"/>
          <w:szCs w:val="18"/>
          <w:vertAlign w:val="subscript"/>
        </w:rPr>
        <w:t xml:space="preserve">3</w:t>
      </w:r>
      <w:r>
        <w:rPr>
          <w:rFonts w:ascii="Times New Roman" w:hAnsi="Times New Roman" w:cs="Times New Roman"/>
          <w:bCs/>
          <w:sz w:val="18"/>
          <w:szCs w:val="18"/>
        </w:rPr>
        <w:t xml:space="preserve">O</w:t>
      </w:r>
      <w:r>
        <w:rPr>
          <w:rFonts w:ascii="Times New Roman" w:hAnsi="Times New Roman" w:cs="Times New Roman"/>
          <w:bCs/>
          <w:sz w:val="18"/>
          <w:szCs w:val="18"/>
          <w:vertAlign w:val="subscript"/>
        </w:rPr>
        <w:t xml:space="preserve">4</w:t>
      </w:r>
      <w:r>
        <w:rPr>
          <w:rFonts w:ascii="Times New Roman" w:hAnsi="Times New Roman" w:cs="Times New Roman"/>
          <w:bCs/>
          <w:sz w:val="18"/>
          <w:szCs w:val="18"/>
        </w:rPr>
        <w:t xml:space="preserve">/</w:t>
      </w:r>
      <w:r>
        <w:rPr>
          <w:rFonts w:ascii="Times New Roman" w:hAnsi="Times New Roman" w:cs="Times New Roman"/>
          <w:bCs/>
          <w:sz w:val="18"/>
          <w:szCs w:val="18"/>
        </w:rPr>
        <w:t xml:space="preserve">N-TiO</w:t>
      </w:r>
      <w:r>
        <w:rPr>
          <w:rFonts w:ascii="Times New Roman" w:hAnsi="Times New Roman" w:cs="Times New Roman"/>
          <w:bCs/>
          <w:sz w:val="18"/>
          <w:szCs w:val="18"/>
          <w:vertAlign w:val="subscript"/>
        </w:rPr>
        <w:t xml:space="preserve">2</w:t>
      </w:r>
      <w:r>
        <w:rPr>
          <w:rFonts w:ascii="Times New Roman" w:hAnsi="Times New Roman" w:cs="Times New Roman"/>
          <w:bCs/>
          <w:sz w:val="18"/>
          <w:szCs w:val="18"/>
        </w:rPr>
        <w:t xml:space="preserve">-</w:t>
      </w:r>
      <w:r>
        <w:rPr>
          <w:rFonts w:ascii="Times New Roman" w:hAnsi="Times New Roman" w:cs="Times New Roman"/>
          <w:bCs/>
          <w:sz w:val="18"/>
          <w:szCs w:val="18"/>
        </w:rPr>
        <w:t xml:space="preserve">2</w:t>
      </w:r>
      <w:r>
        <w:rPr>
          <w:rFonts w:ascii="Times New Roman" w:hAnsi="Times New Roman" w:cs="Times New Roman"/>
          <w:bCs/>
          <w:sz w:val="18"/>
          <w:szCs w:val="18"/>
        </w:rPr>
        <w:t xml:space="preserve">, </w:t>
      </w:r>
      <w:r>
        <w:rPr>
          <w:rFonts w:ascii="Times New Roman" w:hAnsi="Times New Roman" w:cs="Times New Roman"/>
          <w:b/>
          <w:bCs/>
          <w:sz w:val="18"/>
          <w:szCs w:val="18"/>
        </w:rPr>
        <w:t xml:space="preserve">c</w:t>
      </w:r>
      <w:r>
        <w:rPr>
          <w:rFonts w:ascii="Times New Roman" w:hAnsi="Times New Roman" w:cs="Times New Roman"/>
          <w:b/>
          <w:bCs/>
          <w:sz w:val="18"/>
          <w:szCs w:val="18"/>
        </w:rPr>
        <w:t xml:space="preserve"> </w:t>
      </w:r>
      <w:r>
        <w:rPr>
          <w:rFonts w:ascii="Times New Roman" w:hAnsi="Times New Roman" w:cs="Times New Roman"/>
          <w:bCs/>
          <w:sz w:val="18"/>
          <w:szCs w:val="18"/>
        </w:rPr>
        <w:t xml:space="preserve">Fe</w:t>
      </w:r>
      <w:r>
        <w:rPr>
          <w:rFonts w:ascii="Times New Roman" w:hAnsi="Times New Roman" w:cs="Times New Roman"/>
          <w:bCs/>
          <w:sz w:val="18"/>
          <w:szCs w:val="18"/>
          <w:vertAlign w:val="subscript"/>
        </w:rPr>
        <w:t xml:space="preserve">3</w:t>
      </w:r>
      <w:r>
        <w:rPr>
          <w:rFonts w:ascii="Times New Roman" w:hAnsi="Times New Roman" w:cs="Times New Roman"/>
          <w:bCs/>
          <w:sz w:val="18"/>
          <w:szCs w:val="18"/>
        </w:rPr>
        <w:t xml:space="preserve">O</w:t>
      </w:r>
      <w:r>
        <w:rPr>
          <w:rFonts w:ascii="Times New Roman" w:hAnsi="Times New Roman" w:cs="Times New Roman"/>
          <w:bCs/>
          <w:sz w:val="18"/>
          <w:szCs w:val="18"/>
          <w:vertAlign w:val="subscript"/>
        </w:rPr>
        <w:t xml:space="preserve">4</w:t>
      </w:r>
      <w:r>
        <w:rPr>
          <w:rFonts w:ascii="Times New Roman" w:hAnsi="Times New Roman" w:cs="Times New Roman"/>
          <w:bCs/>
          <w:sz w:val="18"/>
          <w:szCs w:val="18"/>
        </w:rPr>
        <w:t xml:space="preserve">/</w:t>
      </w:r>
      <w:r>
        <w:rPr>
          <w:rFonts w:ascii="Times New Roman" w:hAnsi="Times New Roman" w:cs="Times New Roman"/>
          <w:bCs/>
          <w:sz w:val="18"/>
          <w:szCs w:val="18"/>
        </w:rPr>
        <w:t xml:space="preserve">N-TiO</w:t>
      </w:r>
      <w:r>
        <w:rPr>
          <w:rFonts w:ascii="Times New Roman" w:hAnsi="Times New Roman" w:cs="Times New Roman"/>
          <w:bCs/>
          <w:sz w:val="18"/>
          <w:szCs w:val="18"/>
          <w:vertAlign w:val="subscript"/>
        </w:rPr>
        <w:t xml:space="preserve">2</w:t>
      </w:r>
      <w:r>
        <w:rPr>
          <w:rFonts w:ascii="Times New Roman" w:hAnsi="Times New Roman" w:cs="Times New Roman"/>
          <w:bCs/>
          <w:sz w:val="18"/>
          <w:szCs w:val="18"/>
        </w:rPr>
        <w:t xml:space="preserve">-</w:t>
      </w:r>
      <w:r>
        <w:rPr>
          <w:rFonts w:ascii="Times New Roman" w:hAnsi="Times New Roman" w:cs="Times New Roman"/>
          <w:bCs/>
          <w:sz w:val="18"/>
          <w:szCs w:val="18"/>
        </w:rPr>
        <w:t xml:space="preserve">3</w:t>
      </w:r>
      <w:r>
        <w:rPr>
          <w:rFonts w:ascii="Times New Roman" w:hAnsi="Times New Roman" w:cs="Times New Roman"/>
          <w:bCs/>
          <w:sz w:val="18"/>
          <w:szCs w:val="18"/>
        </w:rPr>
        <w:t xml:space="preserve"> and </w:t>
      </w:r>
      <w:r>
        <w:rPr>
          <w:rFonts w:ascii="Times New Roman" w:hAnsi="Times New Roman" w:cs="Times New Roman"/>
          <w:b/>
          <w:bCs/>
          <w:sz w:val="18"/>
          <w:szCs w:val="18"/>
        </w:rPr>
        <w:t xml:space="preserve">d</w:t>
      </w:r>
      <w:r>
        <w:rPr>
          <w:rFonts w:ascii="Times New Roman" w:hAnsi="Times New Roman" w:cs="Times New Roman"/>
          <w:bCs/>
          <w:sz w:val="18"/>
          <w:szCs w:val="18"/>
        </w:rPr>
        <w:t xml:space="preserve"> Fe</w:t>
      </w:r>
      <w:r>
        <w:rPr>
          <w:rFonts w:ascii="Times New Roman" w:hAnsi="Times New Roman" w:cs="Times New Roman"/>
          <w:bCs/>
          <w:sz w:val="18"/>
          <w:szCs w:val="18"/>
          <w:vertAlign w:val="subscript"/>
        </w:rPr>
        <w:t xml:space="preserve">3</w:t>
      </w:r>
      <w:r>
        <w:rPr>
          <w:rFonts w:ascii="Times New Roman" w:hAnsi="Times New Roman" w:cs="Times New Roman"/>
          <w:bCs/>
          <w:sz w:val="18"/>
          <w:szCs w:val="18"/>
        </w:rPr>
        <w:t xml:space="preserve">O</w:t>
      </w:r>
      <w:r>
        <w:rPr>
          <w:rFonts w:ascii="Times New Roman" w:hAnsi="Times New Roman" w:cs="Times New Roman"/>
          <w:bCs/>
          <w:sz w:val="18"/>
          <w:szCs w:val="18"/>
          <w:vertAlign w:val="subscript"/>
        </w:rPr>
        <w:t xml:space="preserve">4</w:t>
      </w:r>
      <w:r>
        <w:rPr>
          <w:rFonts w:ascii="Times New Roman" w:hAnsi="Times New Roman" w:cs="Times New Roman"/>
          <w:bCs/>
          <w:sz w:val="18"/>
          <w:szCs w:val="18"/>
        </w:rPr>
        <w:t xml:space="preserve">/</w:t>
      </w:r>
      <w:r>
        <w:rPr>
          <w:rFonts w:ascii="Times New Roman" w:hAnsi="Times New Roman" w:cs="Times New Roman"/>
          <w:bCs/>
          <w:sz w:val="18"/>
          <w:szCs w:val="18"/>
        </w:rPr>
        <w:t xml:space="preserve">N-TiO</w:t>
      </w:r>
      <w:r>
        <w:rPr>
          <w:rFonts w:ascii="Times New Roman" w:hAnsi="Times New Roman" w:cs="Times New Roman"/>
          <w:bCs/>
          <w:sz w:val="18"/>
          <w:szCs w:val="18"/>
          <w:vertAlign w:val="subscript"/>
        </w:rPr>
        <w:t xml:space="preserve">2</w:t>
      </w:r>
      <w:r>
        <w:rPr>
          <w:rFonts w:ascii="Times New Roman" w:hAnsi="Times New Roman" w:cs="Times New Roman"/>
          <w:bCs/>
          <w:sz w:val="18"/>
          <w:szCs w:val="18"/>
        </w:rPr>
        <w:t xml:space="preserve">-4</w:t>
      </w:r>
      <w:r>
        <w:rPr>
          <w:rFonts w:ascii="Times New Roman" w:hAnsi="Times New Roman" w:cs="Times New Roman"/>
          <w:bCs/>
          <w:sz w:val="18"/>
          <w:szCs w:val="18"/>
        </w:rPr>
        <w:t xml:space="preserve"> measured with and without external magnetic field; Comparison of the TRPL spectra of Fe</w:t>
      </w:r>
      <w:r>
        <w:rPr>
          <w:rFonts w:ascii="Times New Roman" w:hAnsi="Times New Roman" w:cs="Times New Roman"/>
          <w:bCs/>
          <w:sz w:val="18"/>
          <w:szCs w:val="18"/>
          <w:vertAlign w:val="subscript"/>
        </w:rPr>
        <w:t xml:space="preserve">3</w:t>
      </w:r>
      <w:r>
        <w:rPr>
          <w:rFonts w:ascii="Times New Roman" w:hAnsi="Times New Roman" w:cs="Times New Roman"/>
          <w:bCs/>
          <w:sz w:val="18"/>
          <w:szCs w:val="18"/>
        </w:rPr>
        <w:t xml:space="preserve">O</w:t>
      </w:r>
      <w:r>
        <w:rPr>
          <w:rFonts w:ascii="Times New Roman" w:hAnsi="Times New Roman" w:cs="Times New Roman"/>
          <w:bCs/>
          <w:sz w:val="18"/>
          <w:szCs w:val="18"/>
          <w:vertAlign w:val="subscript"/>
        </w:rPr>
        <w:t xml:space="preserve">4</w:t>
      </w:r>
      <w:r>
        <w:rPr>
          <w:rFonts w:ascii="Times New Roman" w:hAnsi="Times New Roman" w:cs="Times New Roman"/>
          <w:bCs/>
          <w:sz w:val="18"/>
          <w:szCs w:val="18"/>
        </w:rPr>
        <w:t xml:space="preserve">/</w:t>
      </w:r>
      <w:r>
        <w:rPr>
          <w:rFonts w:ascii="Times New Roman" w:hAnsi="Times New Roman" w:cs="Times New Roman"/>
          <w:bCs/>
          <w:sz w:val="18"/>
          <w:szCs w:val="18"/>
        </w:rPr>
        <w:t xml:space="preserve">N-TiO</w:t>
      </w:r>
      <w:r>
        <w:rPr>
          <w:rFonts w:ascii="Times New Roman" w:hAnsi="Times New Roman" w:cs="Times New Roman"/>
          <w:bCs/>
          <w:sz w:val="18"/>
          <w:szCs w:val="18"/>
          <w:vertAlign w:val="subscript"/>
        </w:rPr>
        <w:t xml:space="preserve">2</w:t>
      </w:r>
      <w:r>
        <w:rPr>
          <w:rFonts w:ascii="Times New Roman" w:hAnsi="Times New Roman" w:cs="Times New Roman"/>
          <w:bCs/>
          <w:sz w:val="18"/>
          <w:szCs w:val="18"/>
        </w:rPr>
        <w:t xml:space="preserve">-</w:t>
      </w:r>
      <w:r>
        <w:rPr>
          <w:rFonts w:ascii="Times New Roman" w:hAnsi="Times New Roman" w:cs="Times New Roman"/>
          <w:bCs/>
          <w:sz w:val="18"/>
          <w:szCs w:val="18"/>
        </w:rPr>
        <w:t xml:space="preserve">1</w:t>
      </w:r>
      <w:r>
        <w:rPr>
          <w:rFonts w:ascii="Times New Roman" w:hAnsi="Times New Roman" w:cs="Times New Roman"/>
          <w:bCs/>
          <w:sz w:val="18"/>
          <w:szCs w:val="18"/>
        </w:rPr>
        <w:t xml:space="preserve">, Fe</w:t>
      </w:r>
      <w:r>
        <w:rPr>
          <w:rFonts w:ascii="Times New Roman" w:hAnsi="Times New Roman" w:cs="Times New Roman"/>
          <w:bCs/>
          <w:sz w:val="18"/>
          <w:szCs w:val="18"/>
          <w:vertAlign w:val="subscript"/>
        </w:rPr>
        <w:t xml:space="preserve">3</w:t>
      </w:r>
      <w:r>
        <w:rPr>
          <w:rFonts w:ascii="Times New Roman" w:hAnsi="Times New Roman" w:cs="Times New Roman"/>
          <w:bCs/>
          <w:sz w:val="18"/>
          <w:szCs w:val="18"/>
        </w:rPr>
        <w:t xml:space="preserve">O</w:t>
      </w:r>
      <w:r>
        <w:rPr>
          <w:rFonts w:ascii="Times New Roman" w:hAnsi="Times New Roman" w:cs="Times New Roman"/>
          <w:bCs/>
          <w:sz w:val="18"/>
          <w:szCs w:val="18"/>
          <w:vertAlign w:val="subscript"/>
        </w:rPr>
        <w:t xml:space="preserve">4</w:t>
      </w:r>
      <w:r>
        <w:rPr>
          <w:rFonts w:ascii="Times New Roman" w:hAnsi="Times New Roman" w:cs="Times New Roman"/>
          <w:bCs/>
          <w:sz w:val="18"/>
          <w:szCs w:val="18"/>
        </w:rPr>
        <w:t xml:space="preserve">/</w:t>
      </w:r>
      <w:r>
        <w:rPr>
          <w:rFonts w:ascii="Times New Roman" w:hAnsi="Times New Roman" w:cs="Times New Roman"/>
          <w:bCs/>
          <w:sz w:val="18"/>
          <w:szCs w:val="18"/>
        </w:rPr>
        <w:t xml:space="preserve">N-TiO</w:t>
      </w:r>
      <w:r>
        <w:rPr>
          <w:rFonts w:ascii="Times New Roman" w:hAnsi="Times New Roman" w:cs="Times New Roman"/>
          <w:bCs/>
          <w:sz w:val="18"/>
          <w:szCs w:val="18"/>
          <w:vertAlign w:val="subscript"/>
        </w:rPr>
        <w:t xml:space="preserve">2</w:t>
      </w:r>
      <w:r>
        <w:rPr>
          <w:rFonts w:ascii="Times New Roman" w:hAnsi="Times New Roman" w:cs="Times New Roman"/>
          <w:bCs/>
          <w:sz w:val="18"/>
          <w:szCs w:val="18"/>
        </w:rPr>
        <w:t xml:space="preserve">-</w:t>
      </w:r>
      <w:r>
        <w:rPr>
          <w:rFonts w:ascii="Times New Roman" w:hAnsi="Times New Roman" w:cs="Times New Roman"/>
          <w:bCs/>
          <w:sz w:val="18"/>
          <w:szCs w:val="18"/>
        </w:rPr>
        <w:t xml:space="preserve">2</w:t>
      </w:r>
      <w:r>
        <w:rPr>
          <w:rFonts w:ascii="Times New Roman" w:hAnsi="Times New Roman" w:cs="Times New Roman"/>
          <w:bCs/>
          <w:sz w:val="18"/>
          <w:szCs w:val="18"/>
        </w:rPr>
        <w:t xml:space="preserve">, Fe</w:t>
      </w:r>
      <w:r>
        <w:rPr>
          <w:rFonts w:ascii="Times New Roman" w:hAnsi="Times New Roman" w:cs="Times New Roman"/>
          <w:bCs/>
          <w:sz w:val="18"/>
          <w:szCs w:val="18"/>
          <w:vertAlign w:val="subscript"/>
        </w:rPr>
        <w:t xml:space="preserve">3</w:t>
      </w:r>
      <w:r>
        <w:rPr>
          <w:rFonts w:ascii="Times New Roman" w:hAnsi="Times New Roman" w:cs="Times New Roman"/>
          <w:bCs/>
          <w:sz w:val="18"/>
          <w:szCs w:val="18"/>
        </w:rPr>
        <w:t xml:space="preserve">O</w:t>
      </w:r>
      <w:r>
        <w:rPr>
          <w:rFonts w:ascii="Times New Roman" w:hAnsi="Times New Roman" w:cs="Times New Roman"/>
          <w:bCs/>
          <w:sz w:val="18"/>
          <w:szCs w:val="18"/>
          <w:vertAlign w:val="subscript"/>
        </w:rPr>
        <w:t xml:space="preserve">4</w:t>
      </w:r>
      <w:r>
        <w:rPr>
          <w:rFonts w:ascii="Times New Roman" w:hAnsi="Times New Roman" w:cs="Times New Roman"/>
          <w:bCs/>
          <w:sz w:val="18"/>
          <w:szCs w:val="18"/>
        </w:rPr>
        <w:t xml:space="preserve">/</w:t>
      </w:r>
      <w:r>
        <w:rPr>
          <w:rFonts w:ascii="Times New Roman" w:hAnsi="Times New Roman" w:cs="Times New Roman"/>
          <w:bCs/>
          <w:sz w:val="18"/>
          <w:szCs w:val="18"/>
        </w:rPr>
        <w:t xml:space="preserve">N-TiO</w:t>
      </w:r>
      <w:r>
        <w:rPr>
          <w:rFonts w:ascii="Times New Roman" w:hAnsi="Times New Roman" w:cs="Times New Roman"/>
          <w:bCs/>
          <w:sz w:val="18"/>
          <w:szCs w:val="18"/>
          <w:vertAlign w:val="subscript"/>
        </w:rPr>
        <w:t xml:space="preserve">2</w:t>
      </w:r>
      <w:r>
        <w:rPr>
          <w:rFonts w:ascii="Times New Roman" w:hAnsi="Times New Roman" w:cs="Times New Roman"/>
          <w:bCs/>
          <w:sz w:val="18"/>
          <w:szCs w:val="18"/>
        </w:rPr>
        <w:t xml:space="preserve">-</w:t>
      </w:r>
      <w:r>
        <w:rPr>
          <w:rFonts w:ascii="Times New Roman" w:hAnsi="Times New Roman" w:cs="Times New Roman"/>
          <w:bCs/>
          <w:sz w:val="18"/>
          <w:szCs w:val="18"/>
        </w:rPr>
        <w:t xml:space="preserve">3 </w:t>
      </w:r>
      <w:r>
        <w:rPr>
          <w:rFonts w:ascii="Times New Roman" w:hAnsi="Times New Roman" w:cs="Times New Roman"/>
          <w:bCs/>
          <w:sz w:val="18"/>
          <w:szCs w:val="18"/>
        </w:rPr>
        <w:t xml:space="preserve">and Fe</w:t>
      </w:r>
      <w:r>
        <w:rPr>
          <w:rFonts w:ascii="Times New Roman" w:hAnsi="Times New Roman" w:cs="Times New Roman"/>
          <w:bCs/>
          <w:sz w:val="18"/>
          <w:szCs w:val="18"/>
          <w:vertAlign w:val="subscript"/>
        </w:rPr>
        <w:t xml:space="preserve">3</w:t>
      </w:r>
      <w:r>
        <w:rPr>
          <w:rFonts w:ascii="Times New Roman" w:hAnsi="Times New Roman" w:cs="Times New Roman"/>
          <w:bCs/>
          <w:sz w:val="18"/>
          <w:szCs w:val="18"/>
        </w:rPr>
        <w:t xml:space="preserve">O</w:t>
      </w:r>
      <w:r>
        <w:rPr>
          <w:rFonts w:ascii="Times New Roman" w:hAnsi="Times New Roman" w:cs="Times New Roman"/>
          <w:bCs/>
          <w:sz w:val="18"/>
          <w:szCs w:val="18"/>
          <w:vertAlign w:val="subscript"/>
        </w:rPr>
        <w:t xml:space="preserve">4</w:t>
      </w:r>
      <w:r>
        <w:rPr>
          <w:rFonts w:ascii="Times New Roman" w:hAnsi="Times New Roman" w:cs="Times New Roman"/>
          <w:bCs/>
          <w:sz w:val="18"/>
          <w:szCs w:val="18"/>
        </w:rPr>
        <w:t xml:space="preserve">/</w:t>
      </w:r>
      <w:r>
        <w:rPr>
          <w:rFonts w:ascii="Times New Roman" w:hAnsi="Times New Roman" w:cs="Times New Roman"/>
          <w:bCs/>
          <w:sz w:val="18"/>
          <w:szCs w:val="18"/>
        </w:rPr>
        <w:t xml:space="preserve">N-TiO</w:t>
      </w:r>
      <w:r>
        <w:rPr>
          <w:rFonts w:ascii="Times New Roman" w:hAnsi="Times New Roman" w:cs="Times New Roman"/>
          <w:bCs/>
          <w:sz w:val="18"/>
          <w:szCs w:val="18"/>
          <w:vertAlign w:val="subscript"/>
        </w:rPr>
        <w:t xml:space="preserve">2</w:t>
      </w:r>
      <w:r>
        <w:rPr>
          <w:rFonts w:ascii="Times New Roman" w:hAnsi="Times New Roman" w:cs="Times New Roman"/>
          <w:bCs/>
          <w:sz w:val="18"/>
          <w:szCs w:val="18"/>
        </w:rPr>
        <w:t xml:space="preserve">-</w:t>
      </w:r>
      <w:r>
        <w:rPr>
          <w:rFonts w:ascii="Times New Roman" w:hAnsi="Times New Roman" w:cs="Times New Roman"/>
          <w:bCs/>
          <w:sz w:val="18"/>
          <w:szCs w:val="18"/>
        </w:rPr>
        <w:t xml:space="preserve">4 </w:t>
      </w:r>
      <w:r>
        <w:rPr>
          <w:rFonts w:ascii="Times New Roman" w:hAnsi="Times New Roman" w:cs="Times New Roman"/>
          <w:b/>
          <w:bCs/>
          <w:sz w:val="18"/>
          <w:szCs w:val="18"/>
        </w:rPr>
        <w:t xml:space="preserve">e</w:t>
      </w:r>
      <w:r>
        <w:rPr>
          <w:rFonts w:ascii="Times New Roman" w:hAnsi="Times New Roman" w:cs="Times New Roman"/>
          <w:bCs/>
          <w:sz w:val="18"/>
          <w:szCs w:val="18"/>
        </w:rPr>
        <w:t xml:space="preserve"> without magnetic field and </w:t>
      </w:r>
      <w:r>
        <w:rPr>
          <w:rFonts w:ascii="Times New Roman" w:hAnsi="Times New Roman" w:cs="Times New Roman"/>
          <w:b/>
          <w:bCs/>
          <w:sz w:val="18"/>
          <w:szCs w:val="18"/>
        </w:rPr>
        <w:t xml:space="preserve">f</w:t>
      </w:r>
      <w:r>
        <w:rPr>
          <w:rFonts w:ascii="Times New Roman" w:hAnsi="Times New Roman" w:cs="Times New Roman"/>
          <w:bCs/>
          <w:sz w:val="18"/>
          <w:szCs w:val="18"/>
        </w:rPr>
        <w:t xml:space="preserve"> with magnetic field. (NMF=no magnetic field; MF=magnetic field) The exciton lifetimes of the photocatalysts are summarized in </w:t>
      </w:r>
      <w:r>
        <w:rPr>
          <w:rFonts w:ascii="Times New Roman" w:hAnsi="Times New Roman" w:cs="Times New Roman"/>
          <w:bCs/>
          <w:color w:val="FF0000"/>
          <w:sz w:val="18"/>
          <w:szCs w:val="18"/>
        </w:rPr>
        <w:t xml:space="preserve">Supplementary Table 4</w:t>
      </w:r>
      <w:r>
        <w:rPr>
          <w:rFonts w:ascii="Times New Roman" w:hAnsi="Times New Roman" w:cs="Times New Roman"/>
          <w:bCs/>
          <w:sz w:val="18"/>
          <w:szCs w:val="18"/>
        </w:rPr>
        <w:t xml:space="preserve">.</w:t>
      </w:r>
      <w:r/>
    </w:p>
    <w:p>
      <w:pPr>
        <w:jc w:val="center"/>
      </w:pPr>
      <w:r>
        <w:rPr>
          <w:lang w:eastAsia="en-GB"/>
        </w:rPr>
        <mc:AlternateContent>
          <mc:Choice Requires="wpg">
            <w:drawing>
              <wp:inline xmlns:wp="http://schemas.openxmlformats.org/drawingml/2006/wordprocessingDrawing" distT="0" distB="0" distL="0" distR="0">
                <wp:extent cx="5041900" cy="4851400"/>
                <wp:effectExtent l="0" t="0" r="0" b="0"/>
                <wp:docPr id="5" name="图片 3" descr="图表&#10;&#10;中度可信度描述已自动生成"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10;&#10;中度可信度描述已自动生成" hidden="0"/>
                        <pic:cNvPicPr>
                          <a:picLocks noChangeAspect="1"/>
                        </pic:cNvPicPr>
                        <pic:nvPr isPhoto="0" userDrawn="0"/>
                      </pic:nvPicPr>
                      <pic:blipFill>
                        <a:blip r:embed="rId16"/>
                        <a:stretch/>
                      </pic:blipFill>
                      <pic:spPr bwMode="auto">
                        <a:xfrm>
                          <a:off x="0" y="0"/>
                          <a:ext cx="5041900" cy="4851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397.0pt;height:382.0pt;" stroked="false">
                <v:path textboxrect="0,0,0,0"/>
                <v:imagedata r:id="rId16" o:title=""/>
              </v:shape>
            </w:pict>
          </mc:Fallback>
        </mc:AlternateContent>
      </w:r>
      <w:r/>
    </w:p>
    <w:p>
      <w:pPr>
        <w:jc w:val="both"/>
        <w:rPr>
          <w:rFonts w:ascii="Times New Roman" w:hAnsi="Times New Roman" w:cs="Times New Roman"/>
          <w:bCs/>
          <w:sz w:val="18"/>
          <w:szCs w:val="18"/>
        </w:rPr>
      </w:pPr>
      <w:r>
        <w:rPr>
          <w:rFonts w:ascii="Times New Roman" w:hAnsi="Times New Roman" w:cs="Times New Roman"/>
          <w:b/>
          <w:sz w:val="18"/>
          <w:szCs w:val="18"/>
        </w:rPr>
        <w:t xml:space="preserve">Figure 5</w:t>
      </w:r>
      <w:r>
        <w:rPr>
          <w:rFonts w:ascii="Times New Roman" w:hAnsi="Times New Roman" w:cs="Times New Roman"/>
          <w:sz w:val="18"/>
          <w:szCs w:val="18"/>
        </w:rPr>
        <w:t xml:space="preserve"> DFT calculations of the local magnetic field effect on N-doped TiO</w:t>
      </w:r>
      <w:r>
        <w:rPr>
          <w:rFonts w:ascii="Times New Roman" w:hAnsi="Times New Roman" w:cs="Times New Roman"/>
          <w:sz w:val="18"/>
          <w:szCs w:val="18"/>
          <w:vertAlign w:val="subscript"/>
        </w:rPr>
        <w:t xml:space="preserve">2</w:t>
      </w:r>
      <w:r>
        <w:rPr>
          <w:rFonts w:ascii="Times New Roman" w:hAnsi="Times New Roman" w:cs="Times New Roman"/>
          <w:sz w:val="18"/>
          <w:szCs w:val="18"/>
        </w:rPr>
        <w:t xml:space="preserve"> photocatalyst. </w:t>
      </w:r>
      <w:r>
        <w:rPr>
          <w:rFonts w:ascii="Times New Roman" w:hAnsi="Times New Roman" w:cs="Times New Roman"/>
          <w:b/>
          <w:bCs/>
          <w:sz w:val="18"/>
          <w:szCs w:val="18"/>
        </w:rPr>
        <w:t xml:space="preserve">a</w:t>
      </w:r>
      <w:r>
        <w:rPr>
          <w:rFonts w:ascii="Times New Roman" w:hAnsi="Times New Roman" w:cs="Times New Roman"/>
          <w:b/>
          <w:bCs/>
          <w:sz w:val="18"/>
          <w:szCs w:val="18"/>
        </w:rPr>
        <w:t xml:space="preserve"> </w:t>
      </w:r>
      <w:r>
        <w:rPr>
          <w:rFonts w:ascii="Times New Roman" w:hAnsi="Times New Roman" w:cs="Times New Roman"/>
          <w:bCs/>
          <w:sz w:val="18"/>
          <w:szCs w:val="18"/>
        </w:rPr>
        <w:t xml:space="preserve">The</w:t>
      </w:r>
      <w:r>
        <w:rPr>
          <w:rFonts w:ascii="Times New Roman" w:hAnsi="Times New Roman" w:cs="Times New Roman"/>
          <w:bCs/>
          <w:sz w:val="18"/>
          <w:szCs w:val="18"/>
        </w:rPr>
        <w:t xml:space="preserve"> constructed</w:t>
      </w:r>
      <w:r>
        <w:rPr>
          <w:rFonts w:ascii="Times New Roman" w:hAnsi="Times New Roman" w:cs="Times New Roman"/>
          <w:b/>
          <w:bCs/>
          <w:sz w:val="18"/>
          <w:szCs w:val="18"/>
        </w:rPr>
        <w:t xml:space="preserve"> </w:t>
      </w:r>
      <w:r>
        <w:rPr>
          <w:rFonts w:ascii="Times New Roman" w:hAnsi="Times New Roman" w:cs="Times New Roman"/>
          <w:bCs/>
          <w:sz w:val="18"/>
          <w:szCs w:val="18"/>
        </w:rPr>
        <w:t xml:space="preserve">Ti</w:t>
      </w:r>
      <w:r>
        <w:rPr>
          <w:rFonts w:ascii="Times New Roman" w:hAnsi="Times New Roman" w:cs="Times New Roman"/>
          <w:bCs/>
          <w:sz w:val="18"/>
          <w:szCs w:val="18"/>
          <w:vertAlign w:val="subscript"/>
        </w:rPr>
        <w:t xml:space="preserve">16</w:t>
      </w:r>
      <w:r>
        <w:rPr>
          <w:rFonts w:ascii="Times New Roman" w:hAnsi="Times New Roman" w:cs="Times New Roman"/>
          <w:bCs/>
          <w:sz w:val="18"/>
          <w:szCs w:val="18"/>
        </w:rPr>
        <w:t xml:space="preserve">O</w:t>
      </w:r>
      <w:r>
        <w:rPr>
          <w:rFonts w:ascii="Times New Roman" w:hAnsi="Times New Roman" w:cs="Times New Roman"/>
          <w:bCs/>
          <w:sz w:val="18"/>
          <w:szCs w:val="18"/>
          <w:vertAlign w:val="subscript"/>
        </w:rPr>
        <w:t xml:space="preserve">28</w:t>
      </w:r>
      <w:r>
        <w:rPr>
          <w:rFonts w:ascii="Times New Roman" w:hAnsi="Times New Roman" w:cs="Times New Roman"/>
          <w:bCs/>
          <w:sz w:val="18"/>
          <w:szCs w:val="18"/>
        </w:rPr>
        <w:t xml:space="preserve">N</w:t>
      </w:r>
      <w:r>
        <w:rPr>
          <w:rFonts w:ascii="Times New Roman" w:hAnsi="Times New Roman" w:cs="Times New Roman"/>
          <w:bCs/>
          <w:sz w:val="18"/>
          <w:szCs w:val="18"/>
          <w:vertAlign w:val="subscript"/>
        </w:rPr>
        <w:t xml:space="preserve">4</w:t>
      </w:r>
      <w:r>
        <w:rPr>
          <w:rFonts w:ascii="Times New Roman" w:hAnsi="Times New Roman" w:cs="Times New Roman"/>
          <w:b/>
          <w:bCs/>
          <w:sz w:val="18"/>
          <w:szCs w:val="18"/>
        </w:rPr>
        <w:t xml:space="preserve"> </w:t>
      </w:r>
      <w:r>
        <w:rPr>
          <w:rFonts w:ascii="Times New Roman" w:hAnsi="Times New Roman" w:cs="Times New Roman"/>
          <w:bCs/>
          <w:sz w:val="18"/>
          <w:szCs w:val="18"/>
        </w:rPr>
        <w:t xml:space="preserve">supercell for DFT calculation</w:t>
      </w:r>
      <w:r>
        <w:rPr>
          <w:rFonts w:ascii="Times New Roman" w:hAnsi="Times New Roman" w:cs="Times New Roman"/>
          <w:bCs/>
          <w:sz w:val="18"/>
          <w:szCs w:val="18"/>
        </w:rPr>
        <w:t xml:space="preserve"> (O: red; </w:t>
      </w:r>
      <w:r>
        <w:rPr>
          <w:rFonts w:ascii="Times New Roman" w:hAnsi="Times New Roman" w:cs="Times New Roman"/>
          <w:bCs/>
          <w:sz w:val="18"/>
          <w:szCs w:val="18"/>
        </w:rPr>
        <w:t xml:space="preserve">Ti</w:t>
      </w:r>
      <w:r>
        <w:rPr>
          <w:rFonts w:ascii="Times New Roman" w:hAnsi="Times New Roman" w:cs="Times New Roman"/>
          <w:bCs/>
          <w:sz w:val="18"/>
          <w:szCs w:val="18"/>
        </w:rPr>
        <w:t xml:space="preserve">: blue; N: purple)</w:t>
      </w:r>
      <w:r>
        <w:rPr>
          <w:rFonts w:ascii="Times New Roman" w:hAnsi="Times New Roman" w:cs="Times New Roman"/>
          <w:bCs/>
          <w:sz w:val="18"/>
          <w:szCs w:val="18"/>
        </w:rPr>
        <w:t xml:space="preserve">;</w:t>
      </w:r>
      <w:r>
        <w:rPr>
          <w:rFonts w:ascii="Times New Roman" w:hAnsi="Times New Roman" w:cs="Times New Roman"/>
          <w:b/>
          <w:bCs/>
          <w:sz w:val="18"/>
          <w:szCs w:val="18"/>
        </w:rPr>
        <w:t xml:space="preserve"> b </w:t>
      </w:r>
      <w:r>
        <w:rPr>
          <w:rFonts w:ascii="Times New Roman" w:hAnsi="Times New Roman" w:cs="Times New Roman"/>
          <w:bCs/>
          <w:sz w:val="18"/>
          <w:szCs w:val="18"/>
        </w:rPr>
        <w:t xml:space="preserve">Calculated total density of states (DOS) of Ti</w:t>
      </w:r>
      <w:r>
        <w:rPr>
          <w:rFonts w:ascii="Times New Roman" w:hAnsi="Times New Roman" w:cs="Times New Roman"/>
          <w:bCs/>
          <w:sz w:val="18"/>
          <w:szCs w:val="18"/>
          <w:vertAlign w:val="subscript"/>
        </w:rPr>
        <w:t xml:space="preserve">16</w:t>
      </w:r>
      <w:r>
        <w:rPr>
          <w:rFonts w:ascii="Times New Roman" w:hAnsi="Times New Roman" w:cs="Times New Roman"/>
          <w:bCs/>
          <w:sz w:val="18"/>
          <w:szCs w:val="18"/>
        </w:rPr>
        <w:t xml:space="preserve">O</w:t>
      </w:r>
      <w:r>
        <w:rPr>
          <w:rFonts w:ascii="Times New Roman" w:hAnsi="Times New Roman" w:cs="Times New Roman"/>
          <w:bCs/>
          <w:sz w:val="18"/>
          <w:szCs w:val="18"/>
          <w:vertAlign w:val="subscript"/>
        </w:rPr>
        <w:t xml:space="preserve">28</w:t>
      </w:r>
      <w:r>
        <w:rPr>
          <w:rFonts w:ascii="Times New Roman" w:hAnsi="Times New Roman" w:cs="Times New Roman"/>
          <w:bCs/>
          <w:sz w:val="18"/>
          <w:szCs w:val="18"/>
        </w:rPr>
        <w:t xml:space="preserve">N</w:t>
      </w:r>
      <w:r>
        <w:rPr>
          <w:rFonts w:ascii="Times New Roman" w:hAnsi="Times New Roman" w:cs="Times New Roman"/>
          <w:bCs/>
          <w:sz w:val="18"/>
          <w:szCs w:val="18"/>
          <w:vertAlign w:val="subscript"/>
        </w:rPr>
        <w:t xml:space="preserve">4</w:t>
      </w:r>
      <w:r>
        <w:rPr>
          <w:rFonts w:ascii="Times New Roman" w:hAnsi="Times New Roman" w:cs="Times New Roman"/>
          <w:bCs/>
          <w:sz w:val="18"/>
          <w:szCs w:val="18"/>
        </w:rPr>
        <w:t xml:space="preserve"> supercell with magnetic field </w:t>
      </w:r>
      <w:r>
        <w:rPr>
          <w:rFonts w:ascii="Times New Roman" w:hAnsi="Times New Roman" w:cs="Times New Roman"/>
          <w:bCs/>
          <w:sz w:val="18"/>
          <w:szCs w:val="18"/>
        </w:rPr>
        <w:t xml:space="preserve">(ferromagnetic state</w:t>
      </w:r>
      <w:r>
        <w:rPr>
          <w:rFonts w:ascii="Times New Roman" w:hAnsi="Times New Roman" w:cs="Times New Roman"/>
          <w:bCs/>
          <w:sz w:val="18"/>
          <w:szCs w:val="18"/>
        </w:rPr>
        <w:t xml:space="preserve">);</w:t>
      </w:r>
      <w:r>
        <w:rPr>
          <w:rFonts w:ascii="Times New Roman" w:hAnsi="Times New Roman" w:cs="Times New Roman"/>
          <w:b/>
          <w:bCs/>
          <w:sz w:val="18"/>
          <w:szCs w:val="18"/>
        </w:rPr>
        <w:t xml:space="preserve"> </w:t>
      </w:r>
      <w:r>
        <w:rPr>
          <w:rFonts w:ascii="Times New Roman" w:hAnsi="Times New Roman" w:cs="Times New Roman"/>
          <w:b/>
          <w:bCs/>
          <w:sz w:val="18"/>
          <w:szCs w:val="18"/>
        </w:rPr>
        <w:t xml:space="preserve">c</w:t>
      </w:r>
      <w:r>
        <w:rPr>
          <w:rFonts w:ascii="Times New Roman" w:hAnsi="Times New Roman" w:cs="Times New Roman"/>
          <w:b/>
          <w:bCs/>
          <w:sz w:val="18"/>
          <w:szCs w:val="18"/>
        </w:rPr>
        <w:t xml:space="preserve"> </w:t>
      </w:r>
      <w:r>
        <w:rPr>
          <w:rFonts w:ascii="Times New Roman" w:hAnsi="Times New Roman" w:cs="Times New Roman"/>
          <w:bCs/>
          <w:sz w:val="18"/>
          <w:szCs w:val="18"/>
        </w:rPr>
        <w:t xml:space="preserve">3D spatial distributions of spin polari</w:t>
      </w:r>
      <w:r>
        <w:rPr>
          <w:rFonts w:ascii="Times New Roman" w:hAnsi="Times New Roman" w:cs="Times New Roman"/>
          <w:bCs/>
          <w:sz w:val="18"/>
          <w:szCs w:val="18"/>
        </w:rPr>
        <w:t xml:space="preserve">s</w:t>
      </w:r>
      <w:r>
        <w:rPr>
          <w:rFonts w:ascii="Times New Roman" w:hAnsi="Times New Roman" w:cs="Times New Roman"/>
          <w:bCs/>
          <w:sz w:val="18"/>
          <w:szCs w:val="18"/>
        </w:rPr>
        <w:t xml:space="preserve">ation of N-doped Ti</w:t>
      </w:r>
      <w:r>
        <w:rPr>
          <w:rFonts w:ascii="Times New Roman" w:hAnsi="Times New Roman" w:cs="Times New Roman"/>
          <w:bCs/>
          <w:sz w:val="18"/>
          <w:szCs w:val="18"/>
          <w:vertAlign w:val="subscript"/>
        </w:rPr>
        <w:t xml:space="preserve">16</w:t>
      </w:r>
      <w:r>
        <w:rPr>
          <w:rFonts w:ascii="Times New Roman" w:hAnsi="Times New Roman" w:cs="Times New Roman"/>
          <w:bCs/>
          <w:sz w:val="18"/>
          <w:szCs w:val="18"/>
        </w:rPr>
        <w:t xml:space="preserve">O</w:t>
      </w:r>
      <w:r>
        <w:rPr>
          <w:rFonts w:ascii="Times New Roman" w:hAnsi="Times New Roman" w:cs="Times New Roman"/>
          <w:bCs/>
          <w:sz w:val="18"/>
          <w:szCs w:val="18"/>
          <w:vertAlign w:val="subscript"/>
        </w:rPr>
        <w:t xml:space="preserve">28</w:t>
      </w:r>
      <w:r>
        <w:rPr>
          <w:rFonts w:ascii="Times New Roman" w:hAnsi="Times New Roman" w:cs="Times New Roman"/>
          <w:bCs/>
          <w:sz w:val="18"/>
          <w:szCs w:val="18"/>
        </w:rPr>
        <w:t xml:space="preserve">N</w:t>
      </w:r>
      <w:r>
        <w:rPr>
          <w:rFonts w:ascii="Times New Roman" w:hAnsi="Times New Roman" w:cs="Times New Roman"/>
          <w:bCs/>
          <w:sz w:val="18"/>
          <w:szCs w:val="18"/>
          <w:vertAlign w:val="subscript"/>
        </w:rPr>
        <w:t xml:space="preserve">4</w:t>
      </w:r>
      <w:r>
        <w:rPr>
          <w:rFonts w:ascii="Times New Roman" w:hAnsi="Times New Roman" w:cs="Times New Roman"/>
          <w:bCs/>
          <w:sz w:val="18"/>
          <w:szCs w:val="18"/>
        </w:rPr>
        <w:t xml:space="preserve"> model</w:t>
      </w:r>
      <w:r>
        <w:rPr>
          <w:rFonts w:ascii="Times New Roman" w:hAnsi="Times New Roman" w:cs="Times New Roman"/>
          <w:bCs/>
          <w:sz w:val="18"/>
          <w:szCs w:val="18"/>
        </w:rPr>
        <w:t xml:space="preserve"> in </w:t>
      </w:r>
      <w:r>
        <w:rPr>
          <w:rFonts w:ascii="Times New Roman" w:hAnsi="Times New Roman" w:cs="Times New Roman"/>
          <w:bCs/>
          <w:sz w:val="18"/>
          <w:szCs w:val="18"/>
        </w:rPr>
        <w:t xml:space="preserve">defect </w:t>
      </w:r>
      <w:r>
        <w:rPr>
          <w:rFonts w:ascii="Times New Roman" w:hAnsi="Times New Roman" w:cs="Times New Roman"/>
          <w:bCs/>
          <w:sz w:val="18"/>
          <w:szCs w:val="18"/>
        </w:rPr>
        <w:t xml:space="preserve">band under ferromagnetic state</w:t>
      </w:r>
      <w:r>
        <w:rPr>
          <w:rFonts w:ascii="Times New Roman" w:hAnsi="Times New Roman" w:cs="Times New Roman"/>
          <w:bCs/>
          <w:sz w:val="18"/>
          <w:szCs w:val="18"/>
        </w:rPr>
        <w:t xml:space="preserve">. </w:t>
      </w:r>
      <w:r>
        <w:rPr>
          <w:rFonts w:ascii="Times New Roman" w:hAnsi="Times New Roman" w:cs="Times New Roman"/>
          <w:bCs/>
          <w:sz w:val="18"/>
          <w:szCs w:val="18"/>
        </w:rPr>
        <w:t xml:space="preserve">The blue surfaces indicate the charge density of spin-down electrons; </w:t>
      </w:r>
      <w:r>
        <w:rPr>
          <w:rFonts w:ascii="Times New Roman" w:hAnsi="Times New Roman" w:cs="Times New Roman"/>
          <w:b/>
          <w:bCs/>
          <w:sz w:val="18"/>
          <w:szCs w:val="18"/>
        </w:rPr>
        <w:t xml:space="preserve">d</w:t>
      </w:r>
      <w:r>
        <w:rPr>
          <w:rFonts w:ascii="Times New Roman" w:hAnsi="Times New Roman" w:cs="Times New Roman"/>
          <w:bCs/>
          <w:sz w:val="18"/>
          <w:szCs w:val="18"/>
        </w:rPr>
        <w:t xml:space="preserve"> Calculated partial charge density of conduction band minimum (CBM) under ferromagnetic state</w:t>
      </w:r>
      <w:r>
        <w:rPr>
          <w:rFonts w:ascii="Times New Roman" w:hAnsi="Times New Roman" w:cs="Times New Roman"/>
          <w:bCs/>
          <w:sz w:val="18"/>
          <w:szCs w:val="18"/>
        </w:rPr>
        <w:t xml:space="preserve">.</w:t>
      </w:r>
      <w:r>
        <w:rPr>
          <w:rFonts w:ascii="Times New Roman" w:hAnsi="Times New Roman" w:cs="Times New Roman"/>
          <w:bCs/>
          <w:sz w:val="18"/>
          <w:szCs w:val="18"/>
        </w:rPr>
        <w:t xml:space="preserve"> </w:t>
      </w:r>
      <w:r>
        <w:rPr>
          <w:rFonts w:ascii="Times New Roman" w:hAnsi="Times New Roman" w:cs="Times New Roman"/>
          <w:bCs/>
          <w:sz w:val="18"/>
          <w:szCs w:val="18"/>
        </w:rPr>
        <w:t xml:space="preserve">The </w:t>
      </w:r>
      <w:r>
        <w:rPr>
          <w:rFonts w:ascii="Times New Roman" w:hAnsi="Times New Roman" w:cs="Times New Roman" w:hint="eastAsia"/>
          <w:bCs/>
          <w:sz w:val="18"/>
          <w:szCs w:val="18"/>
        </w:rPr>
        <w:t xml:space="preserve">value of iso</w:t>
      </w:r>
      <w:r>
        <w:rPr>
          <w:rFonts w:ascii="Times New Roman" w:hAnsi="Times New Roman" w:cs="Times New Roman"/>
          <w:bCs/>
          <w:sz w:val="18"/>
          <w:szCs w:val="18"/>
        </w:rPr>
        <w:t xml:space="preserve">-</w:t>
      </w:r>
      <w:r>
        <w:rPr>
          <w:rFonts w:ascii="Times New Roman" w:hAnsi="Times New Roman" w:cs="Times New Roman" w:hint="eastAsia"/>
          <w:bCs/>
          <w:sz w:val="18"/>
          <w:szCs w:val="18"/>
        </w:rPr>
        <w:t xml:space="preserve">surface is set to be 0.001eV/</w:t>
      </w:r>
      <w:r>
        <w:rPr>
          <w:rFonts w:ascii="Times New Roman" w:hAnsi="Times New Roman" w:cs="Times New Roman"/>
          <w:bCs/>
          <w:sz w:val="18"/>
          <w:szCs w:val="18"/>
        </w:rPr>
        <w:t xml:space="preserve">Å</w:t>
      </w:r>
      <w:r>
        <w:rPr>
          <w:rFonts w:ascii="Times New Roman" w:hAnsi="Times New Roman" w:cs="Times New Roman"/>
          <w:bCs/>
          <w:sz w:val="18"/>
          <w:szCs w:val="18"/>
        </w:rPr>
        <w:t xml:space="preserve">.</w:t>
      </w:r>
      <w:r>
        <w:rPr>
          <w:rFonts w:ascii="Times New Roman" w:hAnsi="Times New Roman" w:cs="Times New Roman"/>
          <w:bCs/>
          <w:sz w:val="18"/>
          <w:szCs w:val="18"/>
        </w:rPr>
        <w:t xml:space="preserve"> The yellow surfaces represent the</w:t>
      </w:r>
      <w:r>
        <w:rPr>
          <w:rFonts w:ascii="Times New Roman" w:hAnsi="Times New Roman" w:cs="Times New Roman"/>
          <w:bCs/>
          <w:sz w:val="18"/>
          <w:szCs w:val="18"/>
        </w:rPr>
        <w:t xml:space="preserve"> total</w:t>
      </w:r>
      <w:r>
        <w:rPr>
          <w:rFonts w:ascii="Times New Roman" w:hAnsi="Times New Roman" w:cs="Times New Roman"/>
          <w:bCs/>
          <w:sz w:val="18"/>
          <w:szCs w:val="18"/>
        </w:rPr>
        <w:t xml:space="preserve"> electron densities</w:t>
      </w:r>
      <w:r>
        <w:rPr>
          <w:rFonts w:ascii="Times New Roman" w:hAnsi="Times New Roman" w:cs="Times New Roman"/>
          <w:bCs/>
          <w:sz w:val="18"/>
          <w:szCs w:val="18"/>
        </w:rPr>
        <w:t xml:space="preserve"> near each atom</w:t>
      </w:r>
      <w:r>
        <w:rPr>
          <w:rFonts w:ascii="Times New Roman" w:hAnsi="Times New Roman" w:cs="Times New Roman"/>
          <w:bCs/>
          <w:sz w:val="18"/>
          <w:szCs w:val="18"/>
        </w:rPr>
        <w:t xml:space="preserve">.</w:t>
      </w:r>
      <w:r/>
    </w:p>
    <w:p>
      <w:pPr>
        <w:jc w:val="both"/>
        <w:rPr>
          <w:rFonts w:ascii="Times New Roman" w:hAnsi="Times New Roman" w:cs="Times New Roman"/>
          <w:bCs/>
          <w:sz w:val="18"/>
          <w:szCs w:val="18"/>
        </w:rPr>
      </w:pPr>
      <w:r>
        <w:rPr>
          <w:rFonts w:ascii="Times New Roman" w:hAnsi="Times New Roman" w:cs="Times New Roman"/>
          <w:bCs/>
          <w:sz w:val="18"/>
          <w:szCs w:val="18"/>
        </w:rPr>
      </w:r>
      <w:r/>
    </w:p>
    <w:p>
      <w:pPr>
        <w:jc w:val="both"/>
        <w:rPr>
          <w:rFonts w:ascii="Times New Roman" w:hAnsi="Times New Roman" w:cs="Times New Roman"/>
          <w:bCs/>
          <w:sz w:val="18"/>
          <w:szCs w:val="18"/>
        </w:rPr>
      </w:pPr>
      <w:r>
        <w:rPr>
          <w:rFonts w:ascii="Times New Roman" w:hAnsi="Times New Roman" w:cs="Times New Roman"/>
          <w:bCs/>
          <w:sz w:val="21"/>
          <w:szCs w:val="21"/>
        </w:rPr>
        <w:t xml:space="preserve">Interestingly, we </w:t>
      </w:r>
      <w:r>
        <w:rPr>
          <w:rFonts w:ascii="Times New Roman" w:hAnsi="Times New Roman" w:cs="Times New Roman"/>
          <w:bCs/>
          <w:sz w:val="21"/>
          <w:szCs w:val="21"/>
        </w:rPr>
        <w:t xml:space="preserve">also </w:t>
      </w:r>
      <w:r>
        <w:rPr>
          <w:rFonts w:ascii="Times New Roman" w:hAnsi="Times New Roman" w:cs="Times New Roman"/>
          <w:bCs/>
          <w:sz w:val="21"/>
          <w:szCs w:val="21"/>
        </w:rPr>
        <w:t xml:space="preserve">note that from the </w:t>
      </w:r>
      <w:r>
        <w:rPr>
          <w:rFonts w:ascii="Times New Roman" w:hAnsi="Times New Roman" w:cs="Times New Roman"/>
          <w:bCs/>
          <w:sz w:val="21"/>
          <w:szCs w:val="21"/>
        </w:rPr>
        <w:t xml:space="preserve">net </w:t>
      </w:r>
      <w:r>
        <w:rPr>
          <w:rFonts w:ascii="Times New Roman" w:hAnsi="Times New Roman" w:cs="Times New Roman"/>
          <w:bCs/>
          <w:sz w:val="21"/>
          <w:szCs w:val="21"/>
        </w:rPr>
        <w:t xml:space="preserve">magnetisation curve, this composite material</w:t>
      </w:r>
      <w:r>
        <w:rPr>
          <w:rFonts w:ascii="Times New Roman" w:hAnsi="Times New Roman" w:cs="Times New Roman"/>
          <w:bCs/>
          <w:sz w:val="21"/>
          <w:szCs w:val="21"/>
        </w:rPr>
        <w:t xml:space="preserve"> </w:t>
      </w:r>
      <w:r>
        <w:rPr>
          <w:rFonts w:ascii="Times New Roman" w:hAnsi="Times New Roman" w:cs="Times New Roman"/>
          <w:bCs/>
          <w:sz w:val="21"/>
          <w:szCs w:val="21"/>
        </w:rPr>
        <w:t xml:space="preserve">can give induced ferromagnetism </w:t>
      </w:r>
      <w:r>
        <w:rPr>
          <w:rFonts w:ascii="Times New Roman" w:hAnsi="Times New Roman" w:cs="Times New Roman"/>
          <w:bCs/>
          <w:sz w:val="21"/>
          <w:szCs w:val="21"/>
        </w:rPr>
        <w:t xml:space="preserve">(FM) </w:t>
      </w:r>
      <w:r>
        <w:rPr>
          <w:rFonts w:ascii="Times New Roman" w:hAnsi="Times New Roman" w:cs="Times New Roman"/>
          <w:bCs/>
          <w:sz w:val="21"/>
          <w:szCs w:val="21"/>
        </w:rPr>
        <w:t xml:space="preserve">with reman</w:t>
      </w:r>
      <w:r>
        <w:rPr>
          <w:rFonts w:ascii="Times New Roman" w:hAnsi="Times New Roman" w:cs="Times New Roman"/>
          <w:bCs/>
          <w:sz w:val="21"/>
          <w:szCs w:val="21"/>
        </w:rPr>
        <w:t xml:space="preserve">e</w:t>
      </w:r>
      <w:r>
        <w:rPr>
          <w:rFonts w:ascii="Times New Roman" w:hAnsi="Times New Roman" w:cs="Times New Roman"/>
          <w:bCs/>
          <w:sz w:val="21"/>
          <w:szCs w:val="21"/>
        </w:rPr>
        <w:t xml:space="preserve">nce and coe</w:t>
      </w:r>
      <w:r>
        <w:rPr>
          <w:rFonts w:ascii="Times New Roman" w:hAnsi="Times New Roman" w:cs="Times New Roman"/>
          <w:bCs/>
          <w:sz w:val="21"/>
          <w:szCs w:val="21"/>
        </w:rPr>
        <w:t xml:space="preserve">r</w:t>
      </w:r>
      <w:r>
        <w:rPr>
          <w:rFonts w:ascii="Times New Roman" w:hAnsi="Times New Roman" w:cs="Times New Roman"/>
          <w:bCs/>
          <w:sz w:val="21"/>
          <w:szCs w:val="21"/>
        </w:rPr>
        <w:t xml:space="preserve">civity </w:t>
      </w:r>
      <w:r>
        <w:rPr>
          <w:rFonts w:ascii="Times New Roman" w:hAnsi="Times New Roman" w:cs="Times New Roman"/>
          <w:bCs/>
          <w:sz w:val="21"/>
          <w:szCs w:val="21"/>
        </w:rPr>
        <w:t xml:space="preserve">at zero driving field</w:t>
      </w:r>
      <w:r>
        <w:rPr>
          <w:rFonts w:ascii="Times New Roman" w:hAnsi="Times New Roman" w:cs="Times New Roman"/>
          <w:bCs/>
          <w:sz w:val="21"/>
          <w:szCs w:val="21"/>
        </w:rPr>
        <w:t xml:space="preserve">, which </w:t>
      </w:r>
      <w:r>
        <w:rPr>
          <w:rFonts w:ascii="Times New Roman" w:hAnsi="Times New Roman" w:cs="Times New Roman"/>
          <w:bCs/>
          <w:sz w:val="21"/>
          <w:szCs w:val="21"/>
        </w:rPr>
        <w:t xml:space="preserve">implies </w:t>
      </w:r>
      <w:r>
        <w:rPr>
          <w:rFonts w:ascii="Times New Roman" w:hAnsi="Times New Roman" w:cs="Times New Roman"/>
          <w:bCs/>
          <w:sz w:val="21"/>
          <w:szCs w:val="21"/>
        </w:rPr>
        <w:t xml:space="preserve">the </w:t>
      </w:r>
      <w:r>
        <w:rPr>
          <w:rFonts w:ascii="Times New Roman" w:hAnsi="Times New Roman" w:cs="Times New Roman"/>
          <w:bCs/>
          <w:sz w:val="21"/>
          <w:szCs w:val="21"/>
        </w:rPr>
        <w:t xml:space="preserve">cooperative alignment of charge bodies in the material </w:t>
      </w:r>
      <w:r>
        <w:rPr>
          <w:rFonts w:ascii="Times New Roman" w:hAnsi="Times New Roman" w:cs="Times New Roman"/>
          <w:bCs/>
          <w:sz w:val="21"/>
          <w:szCs w:val="21"/>
        </w:rPr>
        <w:t xml:space="preserve">under magnetic field </w:t>
      </w:r>
      <w:r>
        <w:rPr>
          <w:rFonts w:ascii="Times New Roman" w:hAnsi="Times New Roman" w:cs="Times New Roman"/>
          <w:bCs/>
          <w:sz w:val="21"/>
          <w:szCs w:val="21"/>
        </w:rPr>
        <w:t xml:space="preserve">may also </w:t>
      </w:r>
      <w:r>
        <w:rPr>
          <w:rFonts w:ascii="Times New Roman" w:hAnsi="Times New Roman" w:cs="Times New Roman"/>
          <w:bCs/>
          <w:sz w:val="21"/>
          <w:szCs w:val="21"/>
        </w:rPr>
        <w:t xml:space="preserve">influence </w:t>
      </w:r>
      <w:r>
        <w:rPr>
          <w:rFonts w:ascii="Times New Roman" w:hAnsi="Times New Roman" w:cs="Times New Roman"/>
          <w:bCs/>
          <w:sz w:val="21"/>
          <w:szCs w:val="21"/>
        </w:rPr>
        <w:t xml:space="preserve">the POWS performance</w:t>
      </w:r>
      <w:r>
        <w:rPr>
          <w:rFonts w:ascii="Times New Roman" w:hAnsi="Times New Roman" w:cs="Times New Roman"/>
          <w:bCs/>
          <w:sz w:val="21"/>
          <w:szCs w:val="21"/>
        </w:rPr>
        <w:t xml:space="preserve"> </w:t>
      </w:r>
      <w:r>
        <w:rPr>
          <w:rFonts w:ascii="Times New Roman" w:hAnsi="Times New Roman" w:cs="Times New Roman"/>
          <w:bCs/>
          <w:sz w:val="21"/>
          <w:szCs w:val="21"/>
        </w:rPr>
        <w:t xml:space="preserve">along</w:t>
      </w:r>
      <w:r>
        <w:rPr>
          <w:rFonts w:ascii="Times New Roman" w:hAnsi="Times New Roman" w:cs="Times New Roman"/>
          <w:bCs/>
          <w:sz w:val="21"/>
          <w:szCs w:val="21"/>
        </w:rPr>
        <w:t xml:space="preserve"> with the Lorentz force on isolated charge bodies</w:t>
      </w:r>
      <w:r>
        <w:rPr>
          <w:rFonts w:ascii="Times New Roman" w:hAnsi="Times New Roman" w:cs="Times New Roman"/>
          <w:bCs/>
          <w:sz w:val="21"/>
          <w:szCs w:val="21"/>
        </w:rPr>
        <w:t xml:space="preserve">. </w:t>
      </w:r>
      <w:r>
        <w:rPr>
          <w:rFonts w:ascii="Times New Roman" w:hAnsi="Times New Roman" w:cs="Times New Roman"/>
          <w:bCs/>
          <w:sz w:val="21"/>
          <w:szCs w:val="21"/>
        </w:rPr>
        <w:t xml:space="preserve">It has been reported</w:t>
      </w:r>
      <w:r>
        <w:rPr>
          <w:rFonts w:ascii="Times New Roman" w:hAnsi="Times New Roman" w:cs="Times New Roman"/>
          <w:bCs/>
          <w:sz w:val="21"/>
          <w:szCs w:val="21"/>
        </w:rPr>
        <w:t xml:space="preserve"> </w:t>
      </w:r>
      <w:r>
        <w:rPr>
          <w:rFonts w:ascii="Times New Roman" w:hAnsi="Times New Roman" w:cs="Times New Roman"/>
          <w:bCs/>
          <w:sz w:val="21"/>
          <w:szCs w:val="21"/>
        </w:rPr>
        <w:t xml:space="preserve">that substitution of oxygen by nitrogen in N-doped TiO</w:t>
      </w:r>
      <w:r>
        <w:rPr>
          <w:rFonts w:ascii="Times New Roman" w:hAnsi="Times New Roman" w:cs="Times New Roman"/>
          <w:bCs/>
          <w:sz w:val="21"/>
          <w:szCs w:val="21"/>
          <w:vertAlign w:val="subscript"/>
        </w:rPr>
        <w:t xml:space="preserve">2</w:t>
      </w:r>
      <w:r>
        <w:rPr>
          <w:rFonts w:ascii="Times New Roman" w:hAnsi="Times New Roman" w:cs="Times New Roman"/>
          <w:bCs/>
          <w:sz w:val="21"/>
          <w:szCs w:val="21"/>
        </w:rPr>
        <w:t xml:space="preserve"> can generate defective hole</w:t>
      </w:r>
      <w:r>
        <w:rPr>
          <w:rFonts w:ascii="Times New Roman" w:hAnsi="Times New Roman" w:cs="Times New Roman"/>
          <w:bCs/>
          <w:sz w:val="21"/>
          <w:szCs w:val="21"/>
        </w:rPr>
        <w:t xml:space="preserve">s</w:t>
      </w:r>
      <w:r>
        <w:rPr>
          <w:rFonts w:ascii="Times New Roman" w:hAnsi="Times New Roman" w:cs="Times New Roman"/>
          <w:bCs/>
          <w:sz w:val="21"/>
          <w:szCs w:val="21"/>
        </w:rPr>
        <w:t xml:space="preserve"> and </w:t>
      </w:r>
      <w:r>
        <w:rPr>
          <w:rFonts w:ascii="Times New Roman" w:hAnsi="Times New Roman" w:cs="Times New Roman"/>
          <w:bCs/>
          <w:sz w:val="21"/>
          <w:szCs w:val="21"/>
        </w:rPr>
        <w:t xml:space="preserve">the hole-mediated double exchange through the strong p-p interaction between N and O</w:t>
      </w:r>
      <w:r>
        <w:rPr>
          <w:rFonts w:ascii="Times New Roman" w:hAnsi="Times New Roman" w:cs="Times New Roman"/>
          <w:bCs/>
          <w:sz w:val="21"/>
          <w:szCs w:val="21"/>
        </w:rPr>
        <w:t xml:space="preserve"> </w:t>
      </w:r>
      <w:r>
        <w:rPr>
          <w:rFonts w:ascii="Times New Roman" w:hAnsi="Times New Roman" w:cs="Times New Roman"/>
          <w:bCs/>
          <w:sz w:val="21"/>
          <w:szCs w:val="21"/>
        </w:rPr>
        <w:t xml:space="preserve">can </w:t>
      </w:r>
      <w:r>
        <w:rPr>
          <w:rFonts w:ascii="Times New Roman" w:hAnsi="Times New Roman" w:cs="Times New Roman"/>
          <w:bCs/>
          <w:sz w:val="21"/>
          <w:szCs w:val="21"/>
        </w:rPr>
        <w:t xml:space="preserve">give spins correlation to this</w:t>
      </w:r>
      <w:r>
        <w:rPr>
          <w:rFonts w:ascii="Times New Roman" w:hAnsi="Times New Roman" w:cs="Times New Roman"/>
          <w:bCs/>
          <w:sz w:val="21"/>
          <w:szCs w:val="21"/>
        </w:rPr>
        <w:t xml:space="preserve"> material</w:t>
      </w:r>
      <w:r>
        <w:rPr>
          <w:rFonts w:ascii="Times New Roman" w:hAnsi="Times New Roman" w:cs="Times New Roman"/>
          <w:bCs/>
          <w:sz w:val="21"/>
          <w:szCs w:val="21"/>
        </w:rPr>
        <w:t xml:space="preserve"> </w:t>
      </w:r>
      <w:r>
        <w:rPr>
          <w:rFonts w:ascii="Times New Roman" w:hAnsi="Times New Roman" w:cs="Times New Roman"/>
          <w:bCs/>
          <w:sz w:val="21"/>
          <w:szCs w:val="21"/>
        </w:rPr>
        <w:fldChar w:fldCharType="begin"/>
      </w:r>
      <w:r>
        <w:rPr>
          <w:rFonts w:ascii="Times New Roman" w:hAnsi="Times New Roman" w:cs="Times New Roman"/>
          <w:bCs/>
          <w:sz w:val="21"/>
          <w:szCs w:val="21"/>
        </w:rPr>
        <w:instrText xml:space="preserve">ADDIN CSL_CITATION {"citationItems":[{"id":"ITEM-1","itemData":{"DOI":"10.1063/1.3204463","ISSN":"00036951","abstract":"We report first principles calculations on the magnetism and electronic structures for nitrogen-doped anatase TiO2 (N: TiO2). Our calc</w:instrText>
      </w:r>
      <w:r>
        <w:rPr>
          <w:rFonts w:ascii="Times New Roman" w:hAnsi="Times New Roman" w:cs="Times New Roman"/>
          <w:bCs/>
          <w:sz w:val="21"/>
          <w:szCs w:val="21"/>
        </w:rPr>
        <w:instrText xml:space="preserve">ulations indicate that magnetic state is the ground state for N: TiO 2 systems. An isolated N atom produces a total magnetic moment of 1.00 μB and introduces spin-polarized 2p states in the band gap. The origin of the magnetic moments is the holes in N 2p </w:instrText>
      </w:r>
      <w:r>
        <w:rPr>
          <w:rFonts w:ascii="Times New Roman" w:hAnsi="Times New Roman" w:cs="Times New Roman" w:hint="eastAsia"/>
          <w:bCs/>
          <w:sz w:val="21"/>
          <w:szCs w:val="21"/>
        </w:rPr>
        <w:instrText xml:space="preserve">π</w:instrText>
      </w:r>
      <w:r>
        <w:rPr>
          <w:rFonts w:ascii="Times New Roman" w:hAnsi="Times New Roman" w:cs="Times New Roman"/>
          <w:bCs/>
          <w:sz w:val="21"/>
          <w:szCs w:val="21"/>
        </w:rPr>
        <w:instrText xml:space="preserve"> band of the N dopant. Several doping configurations studied suggest the existence of ferromagnetic coupling between N dopants. The ferromagneti</w:instrText>
      </w:r>
      <w:r>
        <w:rPr>
          <w:rFonts w:ascii="Times New Roman" w:hAnsi="Times New Roman" w:cs="Times New Roman"/>
          <w:bCs/>
          <w:sz w:val="21"/>
          <w:szCs w:val="21"/>
        </w:rPr>
        <w:instrText xml:space="preserve">sm in N: TiO 2 can be attributed to the hole-mediated double exchange through the strong p-p interaction between N and O. © 2009 American Institute of Physics.","author":[{"dropping-particle":"","family":"Tao","given":"J. G.","non-dropping-particle":"","pa</w:instrText>
      </w:r>
      <w:r>
        <w:rPr>
          <w:rFonts w:ascii="Times New Roman" w:hAnsi="Times New Roman" w:cs="Times New Roman"/>
          <w:bCs/>
          <w:sz w:val="21"/>
          <w:szCs w:val="21"/>
        </w:rPr>
        <w:instrText xml:space="preserve">rse-names":false,"suffix":""},{"dropping-particle":"","family":"Guan","given":"L. X.","non-dropping-particle":"","parse-names":false,"suffix":""},{"dropping-particle":"","family":"Pan","given":"J. S.","non-dropping-particle":"","parse-names":false,"suffix"</w:instrText>
      </w:r>
      <w:r>
        <w:rPr>
          <w:rFonts w:ascii="Times New Roman" w:hAnsi="Times New Roman" w:cs="Times New Roman"/>
          <w:bCs/>
          <w:sz w:val="21"/>
          <w:szCs w:val="21"/>
        </w:rPr>
        <w:instrText xml:space="preserve">:""},{"dropping-particle":"","family":"Huan","given":"C. H.A.","non-dropping-particle":"","parse-names":false,"suffix":""},{"dropping-particle":"","family":"Wang","given":"L.","non-dropping-particle":"","parse-names":false,"suffix":""},{"dropping-particle"</w:instrText>
      </w:r>
      <w:r>
        <w:rPr>
          <w:rFonts w:ascii="Times New Roman" w:hAnsi="Times New Roman" w:cs="Times New Roman"/>
          <w:bCs/>
          <w:sz w:val="21"/>
          <w:szCs w:val="21"/>
        </w:rPr>
        <w:instrText xml:space="preserve">:"","family":"Kuo","given":"J. L.","non-dropping-particle":"","parse-names":false,"suffix":""},{"dropping-particle":"","family":"Zhang","given":"Z.","non-dropping-particle":"","parse-names":false,"suffix":""},{"dropping-particle":"","family":"Chai","given"</w:instrText>
      </w:r>
      <w:r>
        <w:rPr>
          <w:rFonts w:ascii="Times New Roman" w:hAnsi="Times New Roman" w:cs="Times New Roman"/>
          <w:bCs/>
          <w:sz w:val="21"/>
          <w:szCs w:val="21"/>
        </w:rPr>
        <w:instrText xml:space="preserve">:"J. W.","non-dropping-particle":"","parse-names":false,"suffix":""},{"dropping-particle":"","family":"Wang","given":"S. J.","non-dropping-particle":"","parse-names":false,"suffix":""}],"container-title":"Applied Physics Letters","id":"ITEM-1","issue":"6",</w:instrText>
      </w:r>
      <w:r>
        <w:rPr>
          <w:rFonts w:ascii="Times New Roman" w:hAnsi="Times New Roman" w:cs="Times New Roman"/>
          <w:bCs/>
          <w:sz w:val="21"/>
          <w:szCs w:val="21"/>
        </w:rPr>
        <w:instrText xml:space="preserve">"issued":{"date-parts":[["2009"]]},"page":"93-96","title":"Density functional study on ferromagnetism in nitrogen-doped anatase TiO2","type":"article-journal","volume":"95"},"uris":["http://www.mendeley.com/documents/?uuid=3b380fac-3db2-4bd2-8d5c-5823b7190</w:instrText>
      </w:r>
      <w:r>
        <w:rPr>
          <w:rFonts w:ascii="Times New Roman" w:hAnsi="Times New Roman" w:cs="Times New Roman"/>
          <w:bCs/>
          <w:sz w:val="21"/>
          <w:szCs w:val="21"/>
        </w:rPr>
        <w:instrText xml:space="preserve">89a"]}],"mendeley":{"formattedCitation":"&lt;sup&gt;27&lt;/sup&gt;","plainTextFormattedCitation":"27","previouslyFormattedCitation":"&lt;sup&gt;27&lt;/sup&gt;"},"properties":{"noteIndex":0},"schema":"https://github.com/citation-style-language/schema/raw/master/csl-citation.json"}</w:instrText>
      </w:r>
      <w:r>
        <w:rPr>
          <w:rFonts w:ascii="Times New Roman" w:hAnsi="Times New Roman" w:cs="Times New Roman"/>
          <w:bCs/>
          <w:sz w:val="21"/>
          <w:szCs w:val="21"/>
        </w:rPr>
        <w:fldChar w:fldCharType="separate"/>
      </w:r>
      <w:r>
        <w:rPr>
          <w:rFonts w:ascii="Times New Roman" w:hAnsi="Times New Roman" w:cs="Times New Roman"/>
          <w:bCs/>
          <w:sz w:val="21"/>
          <w:szCs w:val="21"/>
          <w:vertAlign w:val="superscript"/>
        </w:rPr>
        <w:t xml:space="preserve">27</w:t>
      </w:r>
      <w:r>
        <w:rPr>
          <w:rFonts w:ascii="Times New Roman" w:hAnsi="Times New Roman" w:cs="Times New Roman"/>
          <w:bCs/>
          <w:sz w:val="21"/>
          <w:szCs w:val="21"/>
        </w:rPr>
        <w:fldChar w:fldCharType="end"/>
      </w:r>
      <w:r>
        <w:rPr>
          <w:rFonts w:ascii="Times New Roman" w:hAnsi="Times New Roman" w:cs="Times New Roman"/>
          <w:bCs/>
          <w:sz w:val="21"/>
          <w:szCs w:val="21"/>
        </w:rPr>
        <w:t xml:space="preserve">. Therefore,</w:t>
      </w:r>
      <w:r>
        <w:rPr>
          <w:rFonts w:ascii="Times New Roman" w:hAnsi="Times New Roman" w:cs="Times New Roman"/>
          <w:bCs/>
          <w:sz w:val="21"/>
          <w:szCs w:val="21"/>
        </w:rPr>
        <w:t xml:space="preserve"> </w:t>
      </w:r>
      <w:r>
        <w:rPr>
          <w:rFonts w:ascii="Times New Roman" w:hAnsi="Times New Roman" w:cs="Times New Roman"/>
          <w:bCs/>
          <w:sz w:val="21"/>
          <w:szCs w:val="21"/>
        </w:rPr>
        <w:t xml:space="preserve">a </w:t>
      </w:r>
      <w:r>
        <w:rPr>
          <w:rFonts w:ascii="Times New Roman" w:hAnsi="Times New Roman" w:cs="Times New Roman"/>
          <w:bCs/>
          <w:sz w:val="21"/>
          <w:szCs w:val="21"/>
        </w:rPr>
        <w:t xml:space="preserve">Ti</w:t>
      </w:r>
      <w:r>
        <w:rPr>
          <w:rFonts w:ascii="Times New Roman" w:hAnsi="Times New Roman" w:cs="Times New Roman"/>
          <w:bCs/>
          <w:sz w:val="21"/>
          <w:szCs w:val="21"/>
          <w:vertAlign w:val="subscript"/>
        </w:rPr>
        <w:t xml:space="preserve">16</w:t>
      </w:r>
      <w:r>
        <w:rPr>
          <w:rFonts w:ascii="Times New Roman" w:hAnsi="Times New Roman" w:cs="Times New Roman"/>
          <w:bCs/>
          <w:sz w:val="21"/>
          <w:szCs w:val="21"/>
        </w:rPr>
        <w:t xml:space="preserve">O</w:t>
      </w:r>
      <w:r>
        <w:rPr>
          <w:rFonts w:ascii="Times New Roman" w:hAnsi="Times New Roman" w:cs="Times New Roman"/>
          <w:bCs/>
          <w:sz w:val="21"/>
          <w:szCs w:val="21"/>
          <w:vertAlign w:val="subscript"/>
        </w:rPr>
        <w:t xml:space="preserve">28</w:t>
      </w:r>
      <w:r>
        <w:rPr>
          <w:rFonts w:ascii="Times New Roman" w:hAnsi="Times New Roman" w:cs="Times New Roman"/>
          <w:bCs/>
          <w:sz w:val="21"/>
          <w:szCs w:val="21"/>
        </w:rPr>
        <w:t xml:space="preserve">N</w:t>
      </w:r>
      <w:r>
        <w:rPr>
          <w:rFonts w:ascii="Times New Roman" w:hAnsi="Times New Roman" w:cs="Times New Roman"/>
          <w:bCs/>
          <w:sz w:val="21"/>
          <w:szCs w:val="21"/>
          <w:vertAlign w:val="subscript"/>
        </w:rPr>
        <w:t xml:space="preserve">4 </w:t>
      </w:r>
      <w:r>
        <w:rPr>
          <w:rFonts w:ascii="Times New Roman" w:hAnsi="Times New Roman" w:cs="Times New Roman"/>
          <w:bCs/>
          <w:sz w:val="21"/>
          <w:szCs w:val="21"/>
        </w:rPr>
        <w:t xml:space="preserve">supercell </w:t>
      </w:r>
      <w:r>
        <w:rPr>
          <w:rFonts w:ascii="Times New Roman" w:hAnsi="Times New Roman" w:cs="Times New Roman"/>
          <w:bCs/>
          <w:sz w:val="21"/>
          <w:szCs w:val="21"/>
        </w:rPr>
        <w:t xml:space="preserve">based on structure of </w:t>
      </w:r>
      <w:r>
        <w:rPr>
          <w:rFonts w:ascii="Times New Roman" w:hAnsi="Times New Roman" w:cs="Times New Roman"/>
          <w:bCs/>
          <w:sz w:val="21"/>
          <w:szCs w:val="21"/>
        </w:rPr>
        <w:t xml:space="preserve">N-doped anatase TiO</w:t>
      </w:r>
      <w:r>
        <w:rPr>
          <w:rFonts w:ascii="Times New Roman" w:hAnsi="Times New Roman" w:cs="Times New Roman"/>
          <w:bCs/>
          <w:sz w:val="21"/>
          <w:szCs w:val="21"/>
          <w:vertAlign w:val="subscript"/>
        </w:rPr>
        <w:t xml:space="preserve">2</w:t>
      </w:r>
      <w:r>
        <w:rPr>
          <w:rFonts w:ascii="Times New Roman" w:hAnsi="Times New Roman" w:cs="Times New Roman"/>
          <w:bCs/>
          <w:sz w:val="21"/>
          <w:szCs w:val="21"/>
        </w:rPr>
        <w:t xml:space="preserve"> with </w:t>
      </w:r>
      <w:r>
        <w:rPr>
          <w:rFonts w:ascii="Times New Roman" w:hAnsi="Times New Roman" w:cs="Times New Roman"/>
          <w:bCs/>
          <w:sz w:val="21"/>
          <w:szCs w:val="21"/>
        </w:rPr>
        <w:t xml:space="preserve">ca. </w:t>
      </w:r>
      <w:r>
        <w:rPr>
          <w:rFonts w:ascii="Times New Roman" w:hAnsi="Times New Roman" w:cs="Times New Roman"/>
          <w:bCs/>
          <w:sz w:val="21"/>
          <w:szCs w:val="21"/>
        </w:rPr>
        <w:t xml:space="preserve">4.4</w:t>
      </w:r>
      <w:r>
        <w:rPr>
          <w:rFonts w:ascii="Times New Roman" w:hAnsi="Times New Roman" w:cs="Times New Roman"/>
          <w:bCs/>
          <w:sz w:val="21"/>
          <w:szCs w:val="21"/>
        </w:rPr>
        <w:t xml:space="preserve"> wt.</w:t>
      </w:r>
      <w:r>
        <w:rPr>
          <w:rFonts w:ascii="Times New Roman" w:hAnsi="Times New Roman" w:cs="Times New Roman"/>
          <w:bCs/>
          <w:sz w:val="21"/>
          <w:szCs w:val="21"/>
        </w:rPr>
        <w:t xml:space="preserve">% N-do</w:t>
      </w:r>
      <w:r>
        <w:rPr>
          <w:rFonts w:ascii="Times New Roman" w:hAnsi="Times New Roman" w:cs="Times New Roman"/>
          <w:bCs/>
          <w:sz w:val="21"/>
          <w:szCs w:val="21"/>
        </w:rPr>
        <w:t xml:space="preserve">ping </w:t>
      </w:r>
      <w:r>
        <w:rPr>
          <w:rFonts w:ascii="Times New Roman" w:hAnsi="Times New Roman" w:cs="Times New Roman"/>
          <w:bCs/>
          <w:sz w:val="21"/>
          <w:szCs w:val="21"/>
        </w:rPr>
        <w:fldChar w:fldCharType="begin"/>
      </w:r>
      <w:r>
        <w:rPr>
          <w:rFonts w:ascii="Times New Roman" w:hAnsi="Times New Roman" w:cs="Times New Roman"/>
          <w:bCs/>
          <w:sz w:val="21"/>
          <w:szCs w:val="21"/>
        </w:rPr>
        <w:instrText xml:space="preserve">ADDIN CSL_CITATION {"c</w:instrText>
      </w:r>
      <w:r>
        <w:rPr>
          <w:rFonts w:ascii="Times New Roman" w:hAnsi="Times New Roman" w:cs="Times New Roman"/>
          <w:bCs/>
          <w:sz w:val="21"/>
          <w:szCs w:val="21"/>
        </w:rPr>
        <w:instrText xml:space="preserve">itationItems":[{"id":"ITEM-1","itemData":{"author":[{"dropping-particle":"","family":"Foo","given":"Christopher","non-dropping-particle":"","parse-names":false,"suffix":""},{"dropping-particle":"","family":"Li","given":"Yiyang","non-dropping-particle":"","</w:instrText>
      </w:r>
      <w:r>
        <w:rPr>
          <w:rFonts w:ascii="Times New Roman" w:hAnsi="Times New Roman" w:cs="Times New Roman"/>
          <w:bCs/>
          <w:sz w:val="21"/>
          <w:szCs w:val="21"/>
        </w:rPr>
        <w:instrText xml:space="preserve">parse-names":false,"suffix":""},{"dropping-particle":"","family":"Lebedev","given":"Konstantin","non-dropping-particle":"","parse-names":false,"suffix":""},{"dropping-particle":"","family":"Chen","given":"Tian-yi","non-dropping-particle":"","parse-names":f</w:instrText>
      </w:r>
      <w:r>
        <w:rPr>
          <w:rFonts w:ascii="Times New Roman" w:hAnsi="Times New Roman" w:cs="Times New Roman"/>
          <w:bCs/>
          <w:sz w:val="21"/>
          <w:szCs w:val="21"/>
        </w:rPr>
        <w:instrText xml:space="preserve">alse,"suffix":""},{"dropping-particle":"","family":"Day","given":"Sarah","non-dropping-particle":"","parse-names":false,"suffix":""},{"dropping-particle":"","family":"Tang","given":"Chiu","non-dropping-particle":"","parse-names":false,"suffix":""},{"droppi</w:instrText>
      </w:r>
      <w:r>
        <w:rPr>
          <w:rFonts w:ascii="Times New Roman" w:hAnsi="Times New Roman" w:cs="Times New Roman"/>
          <w:bCs/>
          <w:sz w:val="21"/>
          <w:szCs w:val="21"/>
        </w:rPr>
        <w:instrText xml:space="preserve">ng-particle":"","family":"Tsang","given":"Shik Chi Edman","non-dropping-particle":"","parse-names":false,"suffix":""}],"container-title":"Nature Communications","id":"ITEM-1","issued":{"date-parts":[["2021"]]},"page":"In press","title":"A Structural Study </w:instrText>
      </w:r>
      <w:r>
        <w:rPr>
          <w:rFonts w:ascii="Times New Roman" w:hAnsi="Times New Roman" w:cs="Times New Roman"/>
          <w:bCs/>
          <w:sz w:val="21"/>
          <w:szCs w:val="21"/>
        </w:rPr>
        <w:instrText xml:space="preserve">of TiO 2 powder phases with O Defects and N impurities on Photocatalytic Activity Using Variable-Temperature Synchrotron X- Ray Powder Diffraction","type":"article-journal"},"uris":["http://www.mendeley.com/documents/?uuid=4b1afef9-b2e3-4910-ad0e-eb1e928b4</w:instrText>
      </w:r>
      <w:r>
        <w:rPr>
          <w:rFonts w:ascii="Times New Roman" w:hAnsi="Times New Roman" w:cs="Times New Roman"/>
          <w:bCs/>
          <w:sz w:val="21"/>
          <w:szCs w:val="21"/>
        </w:rPr>
        <w:instrText xml:space="preserve">18e"]}],"mendeley":{"formattedCitation":"&lt;sup&gt;28&lt;/sup&gt;","plainTextFormattedCitation":"28","previouslyFormattedCitation":"&lt;sup&gt;28&lt;/sup&gt;"},"properties":{"noteIndex":0},"schema":"https://github.com/citation-style-language/schema/raw/master/csl-citation.json"}</w:instrText>
      </w:r>
      <w:r>
        <w:rPr>
          <w:rFonts w:ascii="Times New Roman" w:hAnsi="Times New Roman" w:cs="Times New Roman"/>
          <w:bCs/>
          <w:sz w:val="21"/>
          <w:szCs w:val="21"/>
        </w:rPr>
        <w:fldChar w:fldCharType="separate"/>
      </w:r>
      <w:r>
        <w:rPr>
          <w:rFonts w:ascii="Times New Roman" w:hAnsi="Times New Roman" w:cs="Times New Roman"/>
          <w:bCs/>
          <w:sz w:val="21"/>
          <w:szCs w:val="21"/>
          <w:vertAlign w:val="superscript"/>
        </w:rPr>
        <w:t xml:space="preserve">28</w:t>
      </w:r>
      <w:r>
        <w:rPr>
          <w:rFonts w:ascii="Times New Roman" w:hAnsi="Times New Roman" w:cs="Times New Roman"/>
          <w:bCs/>
          <w:sz w:val="21"/>
          <w:szCs w:val="21"/>
        </w:rPr>
        <w:fldChar w:fldCharType="end"/>
      </w:r>
      <w:r>
        <w:rPr>
          <w:rFonts w:ascii="Times New Roman" w:hAnsi="Times New Roman" w:cs="Times New Roman"/>
          <w:bCs/>
          <w:sz w:val="21"/>
          <w:szCs w:val="21"/>
        </w:rPr>
        <w:t xml:space="preserve"> was</w:t>
      </w:r>
      <w:r>
        <w:rPr>
          <w:rFonts w:ascii="Times New Roman" w:hAnsi="Times New Roman" w:cs="Times New Roman"/>
          <w:bCs/>
          <w:sz w:val="21"/>
          <w:szCs w:val="21"/>
        </w:rPr>
        <w:t xml:space="preserve"> constructed </w:t>
      </w:r>
      <w:r>
        <w:rPr>
          <w:rFonts w:ascii="Times New Roman" w:hAnsi="Times New Roman" w:cs="Times New Roman"/>
          <w:bCs/>
          <w:sz w:val="21"/>
          <w:szCs w:val="21"/>
        </w:rPr>
        <w:t xml:space="preserve">and studied by </w:t>
      </w:r>
      <w:r>
        <w:rPr>
          <w:rFonts w:ascii="Times New Roman" w:hAnsi="Times New Roman" w:cs="Times New Roman"/>
          <w:bCs/>
          <w:sz w:val="21"/>
          <w:szCs w:val="21"/>
        </w:rPr>
        <w:t xml:space="preserve">first-principles DFT calculations</w:t>
      </w:r>
      <w:r>
        <w:rPr>
          <w:rFonts w:ascii="Times New Roman" w:hAnsi="Times New Roman" w:cs="Times New Roman"/>
          <w:bCs/>
          <w:sz w:val="21"/>
          <w:szCs w:val="21"/>
        </w:rPr>
        <w:t xml:space="preserve">, </w:t>
      </w:r>
      <w:r>
        <w:rPr>
          <w:rFonts w:ascii="Times New Roman" w:hAnsi="Times New Roman" w:cs="Times New Roman"/>
          <w:bCs/>
          <w:sz w:val="21"/>
          <w:szCs w:val="21"/>
        </w:rPr>
        <w:t xml:space="preserve">as shown in </w:t>
      </w:r>
      <w:r>
        <w:rPr>
          <w:rFonts w:ascii="Times New Roman" w:hAnsi="Times New Roman" w:cs="Times New Roman"/>
          <w:bCs/>
          <w:color w:val="FF0000"/>
          <w:sz w:val="21"/>
          <w:szCs w:val="21"/>
        </w:rPr>
        <w:t xml:space="preserve">Fig. 5a</w:t>
      </w:r>
      <w:r>
        <w:rPr>
          <w:rFonts w:ascii="Times New Roman" w:hAnsi="Times New Roman" w:cs="Times New Roman"/>
          <w:bCs/>
          <w:sz w:val="21"/>
          <w:szCs w:val="21"/>
        </w:rPr>
        <w:t xml:space="preserve">. </w:t>
      </w:r>
      <w:r>
        <w:rPr>
          <w:rFonts w:ascii="Times New Roman" w:hAnsi="Times New Roman" w:cs="Times New Roman"/>
          <w:bCs/>
          <w:sz w:val="21"/>
          <w:szCs w:val="21"/>
        </w:rPr>
        <w:t xml:space="preserve">The calculated total density of states (DOS) </w:t>
      </w:r>
      <w:r>
        <w:rPr>
          <w:rFonts w:ascii="Times New Roman" w:hAnsi="Times New Roman" w:cs="Times New Roman"/>
          <w:bCs/>
          <w:sz w:val="21"/>
          <w:szCs w:val="21"/>
        </w:rPr>
        <w:t xml:space="preserve">of </w:t>
      </w:r>
      <w:r>
        <w:rPr>
          <w:rFonts w:ascii="Times New Roman" w:hAnsi="Times New Roman" w:cs="Times New Roman"/>
          <w:bCs/>
          <w:sz w:val="21"/>
          <w:szCs w:val="21"/>
        </w:rPr>
        <w:t xml:space="preserve">ferromagnetic (FM)</w:t>
      </w:r>
      <w:r>
        <w:rPr>
          <w:rFonts w:ascii="Times New Roman" w:hAnsi="Times New Roman" w:cs="Times New Roman"/>
          <w:bCs/>
          <w:sz w:val="21"/>
          <w:szCs w:val="21"/>
        </w:rPr>
        <w:t xml:space="preserve"> </w:t>
      </w:r>
      <w:r>
        <w:rPr>
          <w:rFonts w:ascii="Times New Roman" w:hAnsi="Times New Roman" w:cs="Times New Roman"/>
          <w:bCs/>
          <w:sz w:val="21"/>
          <w:szCs w:val="21"/>
        </w:rPr>
        <w:t xml:space="preserve">state </w:t>
      </w:r>
      <w:r>
        <w:rPr>
          <w:rFonts w:ascii="Times New Roman" w:hAnsi="Times New Roman" w:cs="Times New Roman"/>
          <w:bCs/>
          <w:sz w:val="21"/>
          <w:szCs w:val="21"/>
        </w:rPr>
        <w:t xml:space="preserve">under magnetic field </w:t>
      </w:r>
      <w:r>
        <w:rPr>
          <w:rFonts w:ascii="Times New Roman" w:hAnsi="Times New Roman" w:cs="Times New Roman" w:hint="eastAsia"/>
          <w:bCs/>
          <w:sz w:val="21"/>
          <w:szCs w:val="21"/>
        </w:rPr>
        <w:t xml:space="preserve">(</w:t>
      </w:r>
      <w:r>
        <w:rPr>
          <w:rFonts w:ascii="Times New Roman" w:hAnsi="Times New Roman" w:cs="Times New Roman"/>
          <w:bCs/>
          <w:sz w:val="21"/>
          <w:szCs w:val="21"/>
        </w:rPr>
        <w:t xml:space="preserve">shown in </w:t>
      </w:r>
      <w:r>
        <w:rPr>
          <w:rFonts w:ascii="Times New Roman" w:hAnsi="Times New Roman" w:cs="Times New Roman"/>
          <w:bCs/>
          <w:color w:val="FF0000"/>
          <w:sz w:val="21"/>
          <w:szCs w:val="21"/>
        </w:rPr>
        <w:t xml:space="preserve">Fig. 5b</w:t>
      </w:r>
      <w:r>
        <w:rPr>
          <w:rFonts w:ascii="Times New Roman" w:hAnsi="Times New Roman" w:cs="Times New Roman"/>
          <w:bCs/>
          <w:sz w:val="21"/>
          <w:szCs w:val="21"/>
        </w:rPr>
        <w:t xml:space="preserve"> and </w:t>
      </w:r>
      <w:r>
        <w:rPr>
          <w:rFonts w:ascii="Times New Roman" w:hAnsi="Times New Roman" w:cs="Times New Roman"/>
          <w:bCs/>
          <w:color w:val="FF0000"/>
          <w:sz w:val="21"/>
          <w:szCs w:val="21"/>
        </w:rPr>
        <w:t xml:space="preserve">Supplementary Fig. </w:t>
      </w:r>
      <w:r>
        <w:rPr>
          <w:rFonts w:ascii="Times New Roman" w:hAnsi="Times New Roman" w:cs="Times New Roman"/>
          <w:bCs/>
          <w:color w:val="FF0000"/>
          <w:sz w:val="21"/>
          <w:szCs w:val="21"/>
        </w:rPr>
        <w:t xml:space="preserve">12</w:t>
      </w:r>
      <w:r>
        <w:rPr>
          <w:rFonts w:ascii="Times New Roman" w:hAnsi="Times New Roman" w:cs="Times New Roman"/>
          <w:bCs/>
          <w:color w:val="FF0000"/>
          <w:sz w:val="21"/>
          <w:szCs w:val="21"/>
        </w:rPr>
        <w:t xml:space="preserve">a</w:t>
      </w:r>
      <w:r>
        <w:rPr>
          <w:rFonts w:ascii="Times New Roman" w:hAnsi="Times New Roman" w:cs="Times New Roman"/>
          <w:bCs/>
          <w:sz w:val="21"/>
          <w:szCs w:val="21"/>
        </w:rPr>
        <w:t xml:space="preserve">) </w:t>
      </w:r>
      <w:r>
        <w:rPr>
          <w:rFonts w:ascii="Times New Roman" w:hAnsi="Times New Roman" w:cs="Times New Roman"/>
          <w:bCs/>
          <w:sz w:val="21"/>
          <w:szCs w:val="21"/>
        </w:rPr>
        <w:t xml:space="preserve">clearly </w:t>
      </w:r>
      <w:r>
        <w:rPr>
          <w:rFonts w:ascii="Times New Roman" w:hAnsi="Times New Roman" w:cs="Times New Roman"/>
          <w:bCs/>
          <w:sz w:val="21"/>
          <w:szCs w:val="21"/>
        </w:rPr>
        <w:t xml:space="preserve">indicate</w:t>
      </w:r>
      <w:r>
        <w:rPr>
          <w:rFonts w:ascii="Times New Roman" w:hAnsi="Times New Roman" w:cs="Times New Roman"/>
          <w:bCs/>
          <w:sz w:val="21"/>
          <w:szCs w:val="21"/>
        </w:rPr>
        <w:t xml:space="preserve">s</w:t>
      </w:r>
      <w:r>
        <w:rPr>
          <w:rFonts w:ascii="Times New Roman" w:hAnsi="Times New Roman" w:cs="Times New Roman"/>
          <w:bCs/>
          <w:sz w:val="21"/>
          <w:szCs w:val="21"/>
        </w:rPr>
        <w:t xml:space="preserve"> that </w:t>
      </w:r>
      <w:r>
        <w:rPr>
          <w:rFonts w:ascii="Times New Roman" w:hAnsi="Times New Roman" w:cs="Times New Roman"/>
          <w:bCs/>
          <w:sz w:val="21"/>
          <w:szCs w:val="21"/>
        </w:rPr>
        <w:t xml:space="preserve">the </w:t>
      </w:r>
      <w:r>
        <w:rPr>
          <w:rFonts w:ascii="Times New Roman" w:hAnsi="Times New Roman" w:cs="Times New Roman"/>
          <w:bCs/>
          <w:sz w:val="21"/>
          <w:szCs w:val="21"/>
        </w:rPr>
        <w:t xml:space="preserve">defect state </w:t>
      </w:r>
      <w:r>
        <w:rPr>
          <w:rFonts w:ascii="Times New Roman" w:hAnsi="Times New Roman" w:cs="Times New Roman"/>
          <w:bCs/>
          <w:sz w:val="21"/>
          <w:szCs w:val="21"/>
        </w:rPr>
        <w:t xml:space="preserve">is </w:t>
      </w:r>
      <w:r>
        <w:rPr>
          <w:rFonts w:ascii="Times New Roman" w:hAnsi="Times New Roman" w:cs="Times New Roman"/>
          <w:bCs/>
          <w:sz w:val="21"/>
          <w:szCs w:val="21"/>
        </w:rPr>
        <w:t xml:space="preserve">created within the bandgap near the Fermi level, which are mainly originated from doped N atom</w:t>
      </w:r>
      <w:r>
        <w:rPr>
          <w:rFonts w:ascii="Times New Roman" w:hAnsi="Times New Roman" w:cs="Times New Roman"/>
          <w:bCs/>
          <w:sz w:val="21"/>
          <w:szCs w:val="21"/>
        </w:rPr>
        <w:t xml:space="preserve">s. </w:t>
      </w:r>
      <w:r>
        <w:rPr>
          <w:rFonts w:ascii="Times New Roman" w:hAnsi="Times New Roman" w:cs="Times New Roman"/>
          <w:bCs/>
          <w:sz w:val="21"/>
          <w:szCs w:val="21"/>
        </w:rPr>
        <w:t xml:space="preserve">It also appears that these </w:t>
      </w:r>
      <w:r>
        <w:rPr>
          <w:rFonts w:ascii="Times New Roman" w:hAnsi="Times New Roman" w:cs="Times New Roman"/>
          <w:bCs/>
          <w:sz w:val="21"/>
          <w:szCs w:val="21"/>
        </w:rPr>
        <w:t xml:space="preserve">defect states are not locali</w:t>
      </w:r>
      <w:r>
        <w:rPr>
          <w:rFonts w:ascii="Times New Roman" w:hAnsi="Times New Roman" w:cs="Times New Roman"/>
          <w:bCs/>
          <w:sz w:val="21"/>
          <w:szCs w:val="21"/>
        </w:rPr>
        <w:t xml:space="preserve">s</w:t>
      </w:r>
      <w:r>
        <w:rPr>
          <w:rFonts w:ascii="Times New Roman" w:hAnsi="Times New Roman" w:cs="Times New Roman"/>
          <w:bCs/>
          <w:sz w:val="21"/>
          <w:szCs w:val="21"/>
        </w:rPr>
        <w:t xml:space="preserve">ed </w:t>
      </w:r>
      <w:r>
        <w:rPr>
          <w:rFonts w:ascii="Times New Roman" w:hAnsi="Times New Roman" w:cs="Times New Roman"/>
          <w:bCs/>
          <w:sz w:val="21"/>
          <w:szCs w:val="21"/>
        </w:rPr>
        <w:t xml:space="preserve">as in the previously study but</w:t>
      </w:r>
      <w:r>
        <w:rPr>
          <w:rFonts w:ascii="Times New Roman" w:hAnsi="Times New Roman" w:cs="Times New Roman"/>
          <w:bCs/>
          <w:sz w:val="21"/>
          <w:szCs w:val="21"/>
        </w:rPr>
        <w:t xml:space="preserve"> form a</w:t>
      </w:r>
      <w:r>
        <w:rPr>
          <w:rFonts w:ascii="Times New Roman" w:hAnsi="Times New Roman" w:cs="Times New Roman"/>
          <w:bCs/>
          <w:sz w:val="21"/>
          <w:szCs w:val="21"/>
        </w:rPr>
        <w:t xml:space="preserve">n extensive </w:t>
      </w:r>
      <w:r>
        <w:rPr>
          <w:rFonts w:ascii="Times New Roman" w:hAnsi="Times New Roman" w:cs="Times New Roman"/>
          <w:bCs/>
          <w:sz w:val="21"/>
          <w:szCs w:val="21"/>
        </w:rPr>
        <w:t xml:space="preserve">band due to the interaction between N atoms</w:t>
      </w:r>
      <w:r>
        <w:rPr>
          <w:rFonts w:ascii="Times New Roman" w:hAnsi="Times New Roman" w:cs="Times New Roman"/>
          <w:bCs/>
          <w:sz w:val="21"/>
          <w:szCs w:val="21"/>
        </w:rPr>
        <w:t xml:space="preserve"> at our high </w:t>
      </w:r>
      <w:r>
        <w:rPr>
          <w:rFonts w:ascii="Times New Roman" w:hAnsi="Times New Roman" w:cs="Times New Roman"/>
          <w:bCs/>
          <w:sz w:val="21"/>
          <w:szCs w:val="21"/>
        </w:rPr>
        <w:t xml:space="preserve">doping concentration, which </w:t>
      </w:r>
      <w:r>
        <w:rPr>
          <w:rFonts w:ascii="Times New Roman" w:hAnsi="Times New Roman" w:cs="Times New Roman"/>
          <w:bCs/>
          <w:sz w:val="21"/>
          <w:szCs w:val="21"/>
        </w:rPr>
        <w:t xml:space="preserve">may account</w:t>
      </w:r>
      <w:r>
        <w:rPr>
          <w:rFonts w:ascii="Times New Roman" w:hAnsi="Times New Roman" w:cs="Times New Roman"/>
          <w:bCs/>
          <w:sz w:val="21"/>
          <w:szCs w:val="21"/>
        </w:rPr>
        <w:t xml:space="preserve"> for </w:t>
      </w:r>
      <w:r>
        <w:rPr>
          <w:rFonts w:ascii="Times New Roman" w:hAnsi="Times New Roman" w:cs="Times New Roman"/>
          <w:bCs/>
          <w:sz w:val="21"/>
          <w:szCs w:val="21"/>
        </w:rPr>
        <w:t xml:space="preserve">the enhanced visible light absorption</w:t>
      </w:r>
      <w:r>
        <w:rPr>
          <w:rFonts w:ascii="Times New Roman" w:hAnsi="Times New Roman" w:cs="Times New Roman"/>
          <w:bCs/>
          <w:sz w:val="21"/>
          <w:szCs w:val="21"/>
        </w:rPr>
        <w:fldChar w:fldCharType="begin"/>
      </w:r>
      <w:r>
        <w:rPr>
          <w:rFonts w:ascii="Times New Roman" w:hAnsi="Times New Roman" w:cs="Times New Roman"/>
          <w:bCs/>
          <w:sz w:val="21"/>
          <w:szCs w:val="21"/>
        </w:rPr>
        <w:instrText xml:space="preserve">ADDIN CSL_CITATION {"citationIte</w:instrText>
      </w:r>
      <w:r>
        <w:rPr>
          <w:rFonts w:ascii="Times New Roman" w:hAnsi="Times New Roman" w:cs="Times New Roman"/>
          <w:bCs/>
          <w:sz w:val="21"/>
          <w:szCs w:val="21"/>
        </w:rPr>
        <w:instrText xml:space="preserve">ms":[{"id":"ITEM-1","itemData":{"DOI":"10.1016/j.pmatsci.2017.09.002","ISSN":"00796425","abstract":"Semiconductor-based photocatalysis plays a vital role in counteracting worldwide environmental pollution and energy shortage. How to design a visible-light-</w:instrText>
      </w:r>
      <w:r>
        <w:rPr>
          <w:rFonts w:ascii="Times New Roman" w:hAnsi="Times New Roman" w:cs="Times New Roman"/>
          <w:bCs/>
          <w:sz w:val="21"/>
          <w:szCs w:val="21"/>
        </w:rPr>
        <w:instrText xml:space="preserve">active photocatalyst is critical for efficient solar energy utilization. Many oxides including TiO2 are only photoactive in ultraviolet light and doping is an important strategy to extend the photoactive zone. Anion doping is superior to cation doping, whi</w:instrText>
      </w:r>
      <w:r>
        <w:rPr>
          <w:rFonts w:ascii="Times New Roman" w:hAnsi="Times New Roman" w:cs="Times New Roman"/>
          <w:bCs/>
          <w:sz w:val="21"/>
          <w:szCs w:val="21"/>
        </w:rPr>
        <w:instrText xml:space="preserve">ch generates more harmful electron-hole recombination centers. Nitrogen doping is more effective than carbon/sulfur doping to achieve high visible-light response. Since 2001, nitrogen-doped TiO2 photocatalysts have attracted increasing attention due to the</w:instrText>
      </w:r>
      <w:r>
        <w:rPr>
          <w:rFonts w:ascii="Times New Roman" w:hAnsi="Times New Roman" w:cs="Times New Roman"/>
          <w:bCs/>
          <w:sz w:val="21"/>
          <w:szCs w:val="21"/>
        </w:rPr>
        <w:instrText xml:space="preserve">ir strong oxidizing power and considerable visible light response. Considering the fixed atomic environment in simple oxides, complex oxides are more attractive as photocatalysts because of their more flexible physical and chemical properties. To date, no </w:instrText>
      </w:r>
      <w:r>
        <w:rPr>
          <w:rFonts w:ascii="Times New Roman" w:hAnsi="Times New Roman" w:cs="Times New Roman"/>
          <w:bCs/>
          <w:sz w:val="21"/>
          <w:szCs w:val="21"/>
        </w:rPr>
        <w:instrText xml:space="preserve">review focuses on the designation strategies for nitrogen-doped simple/complex oxides with high visible-light photoactivity. In this review, the recent progress involving nitrogen-doped simple/complex oxides for photocatalysis is comprehensively summarized</w:instrText>
      </w:r>
      <w:r>
        <w:rPr>
          <w:rFonts w:ascii="Times New Roman" w:hAnsi="Times New Roman" w:cs="Times New Roman"/>
          <w:bCs/>
          <w:sz w:val="21"/>
          <w:szCs w:val="21"/>
        </w:rPr>
        <w:instrText xml:space="preserve">. Emphasis is placed on the factors that determine photocatalytic activity and related strategies for the design of active nitrogen-doped oxides. The future challenges are also discussed. This review aims to provide a summary of recent progress in nitrogen</w:instrText>
      </w:r>
      <w:r>
        <w:rPr>
          <w:rFonts w:ascii="Times New Roman" w:hAnsi="Times New Roman" w:cs="Times New Roman"/>
          <w:bCs/>
          <w:sz w:val="21"/>
          <w:szCs w:val="21"/>
        </w:rPr>
        <w:instrText xml:space="preserve">-doped oxides for photocatalysis and some useful guidelines for the future development.","author":[{"dropping-particle":"","family":"Wang","given":"Wei","non-dropping-particle":"","parse-names":false,"suffix":""},{"dropping-particle":"","family":"Tadé","gi</w:instrText>
      </w:r>
      <w:r>
        <w:rPr>
          <w:rFonts w:ascii="Times New Roman" w:hAnsi="Times New Roman" w:cs="Times New Roman"/>
          <w:bCs/>
          <w:sz w:val="21"/>
          <w:szCs w:val="21"/>
        </w:rPr>
        <w:instrText xml:space="preserve">ven":"Moses O.","non-dropping-particle":"","parse-names":false,"suffix":""},{"dropping-particle":"","family":"Shao","given":"Zongping","non-dropping-particle":"","parse-names":false,"suffix":""}],"container-title":"Progress in Materials Science","id":"ITEM</w:instrText>
      </w:r>
      <w:r>
        <w:rPr>
          <w:rFonts w:ascii="Times New Roman" w:hAnsi="Times New Roman" w:cs="Times New Roman"/>
          <w:bCs/>
          <w:sz w:val="21"/>
          <w:szCs w:val="21"/>
        </w:rPr>
        <w:instrText xml:space="preserve">-1","issued":{"date-parts":[["2018"]]},"page":"33-63","title":"Nitrogen-doped simple and complex oxides for photocatalysis: A review","type":"article-journal","volume":"92"},"uris":["http://www.mendeley.com/documents/?uuid=5454651f-d6b5-43f1-9d4a-eb8509561</w:instrText>
      </w:r>
      <w:r>
        <w:rPr>
          <w:rFonts w:ascii="Times New Roman" w:hAnsi="Times New Roman" w:cs="Times New Roman"/>
          <w:bCs/>
          <w:sz w:val="21"/>
          <w:szCs w:val="21"/>
        </w:rPr>
        <w:instrText xml:space="preserve">808"]}],"mendeley":{"formattedCitation":"&lt;sup&gt;29&lt;/sup&gt;","plainTextFormattedCitation":"29","previouslyFormattedCitation":"&lt;sup&gt;29&lt;/sup&gt;"},"properties":{"noteIndex":0},"schema":"https://github.com/citation-style-language/schema/raw/master/csl-citation.json"}</w:instrText>
      </w:r>
      <w:r>
        <w:rPr>
          <w:rFonts w:ascii="Times New Roman" w:hAnsi="Times New Roman" w:cs="Times New Roman"/>
          <w:bCs/>
          <w:sz w:val="21"/>
          <w:szCs w:val="21"/>
        </w:rPr>
        <w:fldChar w:fldCharType="separate"/>
      </w:r>
      <w:r>
        <w:rPr>
          <w:rFonts w:ascii="Times New Roman" w:hAnsi="Times New Roman" w:cs="Times New Roman"/>
          <w:bCs/>
          <w:sz w:val="21"/>
          <w:szCs w:val="21"/>
          <w:vertAlign w:val="superscript"/>
        </w:rPr>
        <w:t xml:space="preserve">29</w:t>
      </w:r>
      <w:r>
        <w:rPr>
          <w:rFonts w:ascii="Times New Roman" w:hAnsi="Times New Roman" w:cs="Times New Roman"/>
          <w:bCs/>
          <w:sz w:val="21"/>
          <w:szCs w:val="21"/>
        </w:rPr>
        <w:fldChar w:fldCharType="end"/>
      </w:r>
      <w:r>
        <w:rPr>
          <w:rFonts w:ascii="Times New Roman" w:hAnsi="Times New Roman" w:cs="Times New Roman" w:hint="eastAsia"/>
          <w:bCs/>
          <w:sz w:val="21"/>
          <w:szCs w:val="21"/>
        </w:rPr>
        <w:t xml:space="preserve">.</w:t>
      </w:r>
      <w:r>
        <w:rPr>
          <w:rFonts w:ascii="Times New Roman" w:hAnsi="Times New Roman" w:cs="Times New Roman"/>
          <w:bCs/>
          <w:i/>
          <w:iCs/>
          <w:sz w:val="21"/>
          <w:szCs w:val="21"/>
        </w:rPr>
        <w:t xml:space="preserve"> </w:t>
      </w:r>
      <w:r>
        <w:rPr>
          <w:rFonts w:ascii="Times New Roman" w:hAnsi="Times New Roman" w:cs="Times New Roman"/>
          <w:bCs/>
          <w:sz w:val="21"/>
          <w:szCs w:val="21"/>
        </w:rPr>
        <w:t xml:space="preserve">From </w:t>
      </w:r>
      <w:r>
        <w:rPr>
          <w:rFonts w:ascii="Times New Roman" w:hAnsi="Times New Roman" w:cs="Times New Roman"/>
          <w:bCs/>
          <w:sz w:val="21"/>
          <w:szCs w:val="21"/>
        </w:rPr>
        <w:t xml:space="preserve">the </w:t>
      </w:r>
      <w:r>
        <w:rPr>
          <w:rFonts w:ascii="Times New Roman" w:hAnsi="Times New Roman" w:cs="Times New Roman"/>
          <w:bCs/>
          <w:sz w:val="21"/>
          <w:szCs w:val="21"/>
        </w:rPr>
        <w:t xml:space="preserve">distribution</w:t>
      </w:r>
      <w:r>
        <w:rPr>
          <w:rFonts w:ascii="Times New Roman" w:hAnsi="Times New Roman" w:cs="Times New Roman"/>
          <w:bCs/>
          <w:sz w:val="21"/>
          <w:szCs w:val="21"/>
        </w:rPr>
        <w:t xml:space="preserve"> of the defect state</w:t>
      </w:r>
      <w:r>
        <w:rPr>
          <w:rFonts w:ascii="Times New Roman" w:hAnsi="Times New Roman" w:cs="Times New Roman"/>
          <w:bCs/>
          <w:sz w:val="21"/>
          <w:szCs w:val="21"/>
        </w:rPr>
        <w:t xml:space="preserve"> on two spin channel</w:t>
      </w:r>
      <w:r>
        <w:rPr>
          <w:rFonts w:ascii="Times New Roman" w:hAnsi="Times New Roman" w:cs="Times New Roman"/>
          <w:bCs/>
          <w:sz w:val="21"/>
          <w:szCs w:val="21"/>
        </w:rPr>
        <w:t xml:space="preserve">s</w:t>
      </w:r>
      <w:r>
        <w:rPr>
          <w:rFonts w:ascii="Times New Roman" w:hAnsi="Times New Roman" w:cs="Times New Roman"/>
          <w:bCs/>
          <w:sz w:val="21"/>
          <w:szCs w:val="21"/>
        </w:rPr>
        <w:t xml:space="preserve">, </w:t>
      </w:r>
      <w:r>
        <w:rPr>
          <w:rFonts w:ascii="Times New Roman" w:hAnsi="Times New Roman" w:cs="Times New Roman"/>
          <w:bCs/>
          <w:sz w:val="21"/>
          <w:szCs w:val="21"/>
        </w:rPr>
        <w:t xml:space="preserve">only one spin channel occurs in the bandgap of N-doped TiO</w:t>
      </w:r>
      <w:r>
        <w:rPr>
          <w:rFonts w:ascii="Times New Roman" w:hAnsi="Times New Roman" w:cs="Times New Roman"/>
          <w:bCs/>
          <w:sz w:val="21"/>
          <w:szCs w:val="21"/>
          <w:vertAlign w:val="subscript"/>
        </w:rPr>
        <w:t xml:space="preserve">2</w:t>
      </w:r>
      <w:r>
        <w:rPr>
          <w:rFonts w:ascii="Times New Roman" w:hAnsi="Times New Roman" w:cs="Times New Roman"/>
          <w:bCs/>
          <w:sz w:val="21"/>
          <w:szCs w:val="21"/>
        </w:rPr>
        <w:t xml:space="preserve"> </w:t>
      </w:r>
      <w:r>
        <w:rPr>
          <w:rFonts w:ascii="Times New Roman" w:hAnsi="Times New Roman" w:cs="Times New Roman"/>
          <w:bCs/>
          <w:sz w:val="21"/>
          <w:szCs w:val="21"/>
        </w:rPr>
        <w:t xml:space="preserve">under FM</w:t>
      </w:r>
      <w:r>
        <w:rPr>
          <w:rFonts w:ascii="Times New Roman" w:hAnsi="Times New Roman" w:cs="Times New Roman"/>
          <w:bCs/>
          <w:sz w:val="21"/>
          <w:szCs w:val="21"/>
        </w:rPr>
        <w:t xml:space="preserve"> state</w:t>
      </w:r>
      <w:r>
        <w:rPr>
          <w:rFonts w:ascii="Times New Roman" w:hAnsi="Times New Roman" w:cs="Times New Roman"/>
          <w:bCs/>
          <w:sz w:val="21"/>
          <w:szCs w:val="21"/>
        </w:rPr>
        <w:t xml:space="preserve"> indicative that the </w:t>
      </w:r>
      <w:r>
        <w:rPr>
          <w:rFonts w:ascii="Times New Roman" w:hAnsi="Times New Roman" w:cs="Times New Roman"/>
          <w:bCs/>
          <w:sz w:val="21"/>
          <w:szCs w:val="21"/>
        </w:rPr>
        <w:t xml:space="preserve">magnetic moments are well-aligned in the material</w:t>
      </w:r>
      <w:r>
        <w:rPr>
          <w:rFonts w:ascii="Times New Roman" w:hAnsi="Times New Roman" w:cs="Times New Roman"/>
          <w:bCs/>
          <w:sz w:val="21"/>
          <w:szCs w:val="21"/>
        </w:rPr>
        <w:t xml:space="preserve"> in valence band (VB)</w:t>
      </w:r>
      <w:r>
        <w:rPr>
          <w:rFonts w:ascii="Times New Roman" w:hAnsi="Times New Roman" w:cs="Times New Roman"/>
          <w:bCs/>
          <w:sz w:val="21"/>
          <w:szCs w:val="21"/>
        </w:rPr>
        <w:t xml:space="preserve">, showing an obvious spin polarisation</w:t>
      </w:r>
      <w:r>
        <w:rPr>
          <w:rFonts w:ascii="Times New Roman" w:hAnsi="Times New Roman" w:cs="Times New Roman"/>
          <w:bCs/>
          <w:sz w:val="21"/>
          <w:szCs w:val="21"/>
        </w:rPr>
        <w:t xml:space="preserve"> </w:t>
      </w:r>
      <w:r>
        <w:rPr>
          <w:rFonts w:ascii="Times New Roman" w:hAnsi="Times New Roman" w:cs="Times New Roman"/>
          <w:bCs/>
          <w:sz w:val="21"/>
          <w:szCs w:val="21"/>
        </w:rPr>
        <w:t xml:space="preserve">(</w:t>
      </w:r>
      <w:r>
        <w:rPr>
          <w:rFonts w:ascii="Times New Roman" w:hAnsi="Times New Roman" w:cs="Times New Roman"/>
          <w:bCs/>
          <w:color w:val="FF0000"/>
          <w:sz w:val="21"/>
          <w:szCs w:val="21"/>
        </w:rPr>
        <w:t xml:space="preserve">Fig. 5b</w:t>
      </w:r>
      <w:r>
        <w:rPr>
          <w:rFonts w:ascii="Times New Roman" w:hAnsi="Times New Roman" w:cs="Times New Roman"/>
          <w:bCs/>
          <w:sz w:val="21"/>
          <w:szCs w:val="21"/>
        </w:rPr>
        <w:t xml:space="preserve"> and </w:t>
      </w:r>
      <w:r>
        <w:rPr>
          <w:rFonts w:ascii="Times New Roman" w:hAnsi="Times New Roman" w:cs="Times New Roman"/>
          <w:bCs/>
          <w:color w:val="FF0000"/>
          <w:sz w:val="21"/>
          <w:szCs w:val="21"/>
        </w:rPr>
        <w:t xml:space="preserve">5c</w:t>
      </w:r>
      <w:r>
        <w:rPr>
          <w:rFonts w:ascii="Times New Roman" w:hAnsi="Times New Roman" w:cs="Times New Roman"/>
          <w:bCs/>
          <w:sz w:val="21"/>
          <w:szCs w:val="21"/>
        </w:rPr>
        <w:t xml:space="preserve">)</w:t>
      </w:r>
      <w:r>
        <w:rPr>
          <w:rFonts w:ascii="Times New Roman" w:hAnsi="Times New Roman" w:cs="Times New Roman"/>
          <w:bCs/>
          <w:sz w:val="21"/>
          <w:szCs w:val="21"/>
        </w:rPr>
        <w:t xml:space="preserve">. </w:t>
      </w:r>
      <w:r>
        <w:rPr>
          <w:rFonts w:ascii="Times New Roman" w:hAnsi="Times New Roman" w:cs="Times New Roman"/>
          <w:bCs/>
          <w:sz w:val="21"/>
          <w:szCs w:val="21"/>
        </w:rPr>
        <w:t xml:space="preserve">Meanwhile, the magnetic states show little effect on </w:t>
      </w:r>
      <w:r>
        <w:rPr>
          <w:rFonts w:ascii="Times New Roman" w:hAnsi="Times New Roman" w:cs="Times New Roman"/>
          <w:bCs/>
          <w:sz w:val="21"/>
          <w:szCs w:val="21"/>
        </w:rPr>
        <w:t xml:space="preserve">the </w:t>
      </w:r>
      <w:r>
        <w:rPr>
          <w:rFonts w:ascii="Times New Roman" w:hAnsi="Times New Roman" w:cs="Times New Roman"/>
          <w:bCs/>
          <w:sz w:val="21"/>
          <w:szCs w:val="21"/>
        </w:rPr>
        <w:t xml:space="preserve">conduction band</w:t>
      </w:r>
      <w:r>
        <w:rPr>
          <w:rFonts w:ascii="Times New Roman" w:hAnsi="Times New Roman" w:cs="Times New Roman"/>
          <w:bCs/>
          <w:sz w:val="21"/>
          <w:szCs w:val="21"/>
        </w:rPr>
        <w:t xml:space="preserve"> (CB)</w:t>
      </w:r>
      <w:r>
        <w:rPr>
          <w:rFonts w:ascii="Times New Roman" w:hAnsi="Times New Roman" w:cs="Times New Roman"/>
          <w:bCs/>
          <w:sz w:val="21"/>
          <w:szCs w:val="21"/>
        </w:rPr>
        <w:t xml:space="preserve"> </w:t>
      </w:r>
      <w:r>
        <w:rPr>
          <w:rFonts w:ascii="Times New Roman" w:hAnsi="Times New Roman" w:cs="Times New Roman"/>
          <w:bCs/>
          <w:sz w:val="21"/>
          <w:szCs w:val="21"/>
        </w:rPr>
        <w:t xml:space="preserve">(</w:t>
      </w:r>
      <w:r>
        <w:rPr>
          <w:rFonts w:ascii="Times New Roman" w:hAnsi="Times New Roman" w:cs="Times New Roman"/>
          <w:bCs/>
          <w:color w:val="FF0000"/>
          <w:sz w:val="21"/>
          <w:szCs w:val="21"/>
        </w:rPr>
        <w:t xml:space="preserve">Fig. </w:t>
      </w:r>
      <w:r>
        <w:rPr>
          <w:rFonts w:ascii="Times New Roman" w:hAnsi="Times New Roman" w:cs="Times New Roman"/>
          <w:bCs/>
          <w:color w:val="FF0000"/>
          <w:sz w:val="21"/>
          <w:szCs w:val="21"/>
        </w:rPr>
        <w:t xml:space="preserve">5d</w:t>
      </w:r>
      <w:r>
        <w:rPr>
          <w:rFonts w:ascii="Times New Roman" w:hAnsi="Times New Roman" w:cs="Times New Roman"/>
          <w:bCs/>
          <w:sz w:val="21"/>
          <w:szCs w:val="21"/>
        </w:rPr>
        <w:t xml:space="preserve">)</w:t>
      </w:r>
      <w:r>
        <w:rPr>
          <w:rFonts w:ascii="Times New Roman" w:hAnsi="Times New Roman" w:cs="Times New Roman"/>
          <w:bCs/>
          <w:sz w:val="21"/>
          <w:szCs w:val="21"/>
        </w:rPr>
        <w:t xml:space="preserve">. Clearly, i</w:t>
      </w:r>
      <w:r>
        <w:rPr>
          <w:rFonts w:ascii="Times New Roman" w:hAnsi="Times New Roman" w:cs="Times New Roman"/>
          <w:bCs/>
          <w:sz w:val="21"/>
          <w:szCs w:val="21"/>
        </w:rPr>
        <w:t xml:space="preserve">n the presence of an induced local magnetic field</w:t>
      </w:r>
      <w:r>
        <w:rPr>
          <w:rFonts w:ascii="Times New Roman" w:hAnsi="Times New Roman" w:cs="Times New Roman"/>
          <w:bCs/>
          <w:sz w:val="21"/>
          <w:szCs w:val="21"/>
        </w:rPr>
        <w:t xml:space="preserve"> generated by the Fe</w:t>
      </w:r>
      <w:r>
        <w:rPr>
          <w:rFonts w:ascii="Times New Roman" w:hAnsi="Times New Roman" w:cs="Times New Roman"/>
          <w:bCs/>
          <w:sz w:val="21"/>
          <w:szCs w:val="21"/>
          <w:vertAlign w:val="subscript"/>
        </w:rPr>
        <w:t xml:space="preserve">3</w:t>
      </w:r>
      <w:r>
        <w:rPr>
          <w:rFonts w:ascii="Times New Roman" w:hAnsi="Times New Roman" w:cs="Times New Roman"/>
          <w:bCs/>
          <w:sz w:val="21"/>
          <w:szCs w:val="21"/>
        </w:rPr>
        <w:t xml:space="preserve">O</w:t>
      </w:r>
      <w:r>
        <w:rPr>
          <w:rFonts w:ascii="Times New Roman" w:hAnsi="Times New Roman" w:cs="Times New Roman"/>
          <w:bCs/>
          <w:sz w:val="21"/>
          <w:szCs w:val="21"/>
          <w:vertAlign w:val="subscript"/>
        </w:rPr>
        <w:t xml:space="preserve">4</w:t>
      </w:r>
      <w:r>
        <w:rPr>
          <w:rFonts w:ascii="Times New Roman" w:hAnsi="Times New Roman" w:cs="Times New Roman"/>
          <w:bCs/>
          <w:sz w:val="21"/>
          <w:szCs w:val="21"/>
        </w:rPr>
        <w:t xml:space="preserve"> NPs</w:t>
      </w:r>
      <w:r>
        <w:rPr>
          <w:rFonts w:ascii="Times New Roman" w:hAnsi="Times New Roman" w:cs="Times New Roman"/>
          <w:bCs/>
          <w:sz w:val="21"/>
          <w:szCs w:val="21"/>
        </w:rPr>
        <w:t xml:space="preserve">, the </w:t>
      </w:r>
      <w:r>
        <w:rPr>
          <w:rFonts w:ascii="Times New Roman" w:hAnsi="Times New Roman" w:cs="Times New Roman"/>
          <w:bCs/>
          <w:sz w:val="21"/>
          <w:szCs w:val="21"/>
        </w:rPr>
        <w:t xml:space="preserve">cooperative </w:t>
      </w:r>
      <w:r>
        <w:rPr>
          <w:rFonts w:ascii="Times New Roman" w:hAnsi="Times New Roman" w:cs="Times New Roman"/>
          <w:bCs/>
          <w:sz w:val="21"/>
          <w:szCs w:val="21"/>
        </w:rPr>
        <w:t xml:space="preserve">magnetic moments in N-TiO</w:t>
      </w:r>
      <w:r>
        <w:rPr>
          <w:rFonts w:ascii="Times New Roman" w:hAnsi="Times New Roman" w:cs="Times New Roman"/>
          <w:bCs/>
          <w:sz w:val="21"/>
          <w:szCs w:val="21"/>
          <w:vertAlign w:val="subscript"/>
        </w:rPr>
        <w:t xml:space="preserve">2</w:t>
      </w:r>
      <w:r>
        <w:rPr>
          <w:rFonts w:ascii="Times New Roman" w:hAnsi="Times New Roman" w:cs="Times New Roman"/>
          <w:bCs/>
          <w:sz w:val="21"/>
          <w:szCs w:val="21"/>
        </w:rPr>
        <w:t xml:space="preserve"> are </w:t>
      </w:r>
      <w:r>
        <w:rPr>
          <w:rFonts w:ascii="Times New Roman" w:hAnsi="Times New Roman" w:cs="Times New Roman"/>
          <w:bCs/>
          <w:sz w:val="21"/>
          <w:szCs w:val="21"/>
        </w:rPr>
        <w:t xml:space="preserve">parallelly </w:t>
      </w:r>
      <w:r>
        <w:rPr>
          <w:rFonts w:ascii="Times New Roman" w:hAnsi="Times New Roman" w:cs="Times New Roman"/>
          <w:bCs/>
          <w:sz w:val="21"/>
          <w:szCs w:val="21"/>
        </w:rPr>
        <w:t xml:space="preserve">aligned</w:t>
      </w:r>
      <w:r>
        <w:rPr>
          <w:rFonts w:ascii="Times New Roman" w:hAnsi="Times New Roman" w:cs="Times New Roman"/>
          <w:bCs/>
          <w:sz w:val="21"/>
          <w:szCs w:val="21"/>
        </w:rPr>
        <w:t xml:space="preserve"> and become FM state </w:t>
      </w:r>
      <w:r>
        <w:rPr>
          <w:rFonts w:ascii="Times New Roman" w:hAnsi="Times New Roman" w:cs="Times New Roman" w:hint="eastAsia"/>
          <w:bCs/>
          <w:sz w:val="21"/>
          <w:szCs w:val="21"/>
        </w:rPr>
        <w:t xml:space="preserve">under the high spatial spin polari</w:t>
      </w:r>
      <w:r>
        <w:rPr>
          <w:rFonts w:ascii="Times New Roman" w:hAnsi="Times New Roman" w:cs="Times New Roman"/>
          <w:bCs/>
          <w:sz w:val="21"/>
          <w:szCs w:val="21"/>
        </w:rPr>
        <w:t xml:space="preserve">s</w:t>
      </w:r>
      <w:r>
        <w:rPr>
          <w:rFonts w:ascii="Times New Roman" w:hAnsi="Times New Roman" w:cs="Times New Roman" w:hint="eastAsia"/>
          <w:bCs/>
          <w:sz w:val="21"/>
          <w:szCs w:val="21"/>
        </w:rPr>
        <w:t xml:space="preserve">ed environment</w:t>
      </w:r>
      <w:r>
        <w:rPr>
          <w:rFonts w:ascii="Times New Roman" w:hAnsi="Times New Roman" w:cs="Times New Roman"/>
          <w:bCs/>
          <w:sz w:val="21"/>
          <w:szCs w:val="21"/>
        </w:rPr>
        <w:t xml:space="preserve"> (</w:t>
      </w:r>
      <w:r>
        <w:rPr>
          <w:rFonts w:ascii="Times New Roman" w:hAnsi="Times New Roman" w:cs="Times New Roman"/>
          <w:bCs/>
          <w:color w:val="FF0000"/>
          <w:sz w:val="21"/>
          <w:szCs w:val="21"/>
        </w:rPr>
        <w:t xml:space="preserve">Fig. 5c</w:t>
      </w:r>
      <w:r>
        <w:rPr>
          <w:rFonts w:ascii="Times New Roman" w:hAnsi="Times New Roman" w:cs="Times New Roman"/>
          <w:bCs/>
          <w:sz w:val="21"/>
          <w:szCs w:val="21"/>
        </w:rPr>
        <w:t xml:space="preserve">)</w:t>
      </w:r>
      <w:r>
        <w:rPr>
          <w:rFonts w:ascii="Times New Roman" w:hAnsi="Times New Roman" w:cs="Times New Roman"/>
          <w:bCs/>
          <w:sz w:val="21"/>
          <w:szCs w:val="21"/>
        </w:rPr>
        <w:t xml:space="preserve">.</w:t>
      </w:r>
      <w:r>
        <w:rPr>
          <w:rFonts w:ascii="Times New Roman" w:hAnsi="Times New Roman" w:cs="Times New Roman"/>
          <w:bCs/>
          <w:sz w:val="21"/>
          <w:szCs w:val="21"/>
        </w:rPr>
        <w:t xml:space="preserve"> W</w:t>
      </w:r>
      <w:r>
        <w:rPr>
          <w:rFonts w:ascii="Times New Roman" w:hAnsi="Times New Roman" w:cs="Times New Roman" w:hint="eastAsia"/>
          <w:bCs/>
          <w:sz w:val="21"/>
          <w:szCs w:val="21"/>
        </w:rPr>
        <w:t xml:space="preserve">hen an electron is excited to CB, </w:t>
      </w:r>
      <w:r>
        <w:rPr>
          <w:rFonts w:ascii="Times New Roman" w:hAnsi="Times New Roman" w:cs="Times New Roman"/>
          <w:bCs/>
          <w:sz w:val="21"/>
          <w:szCs w:val="21"/>
        </w:rPr>
        <w:t xml:space="preserve">it</w:t>
      </w:r>
      <w:r>
        <w:rPr>
          <w:rFonts w:ascii="Times New Roman" w:hAnsi="Times New Roman" w:cs="Times New Roman" w:hint="eastAsia"/>
          <w:bCs/>
          <w:sz w:val="21"/>
          <w:szCs w:val="21"/>
        </w:rPr>
        <w:t xml:space="preserve"> </w:t>
      </w:r>
      <w:r>
        <w:rPr>
          <w:rFonts w:ascii="Times New Roman" w:hAnsi="Times New Roman" w:cs="Times New Roman"/>
          <w:bCs/>
          <w:sz w:val="21"/>
          <w:szCs w:val="21"/>
        </w:rPr>
        <w:t xml:space="preserve">is </w:t>
      </w:r>
      <w:r>
        <w:rPr>
          <w:rFonts w:ascii="Times New Roman" w:hAnsi="Times New Roman" w:cs="Times New Roman"/>
          <w:bCs/>
          <w:sz w:val="21"/>
          <w:szCs w:val="21"/>
        </w:rPr>
        <w:t xml:space="preserve">likely </w:t>
      </w:r>
      <w:r>
        <w:rPr>
          <w:rFonts w:ascii="Times New Roman" w:hAnsi="Times New Roman" w:cs="Times New Roman"/>
          <w:bCs/>
          <w:sz w:val="21"/>
          <w:szCs w:val="21"/>
        </w:rPr>
        <w:t xml:space="preserve">to </w:t>
      </w:r>
      <w:r>
        <w:rPr>
          <w:rFonts w:ascii="Times New Roman" w:hAnsi="Times New Roman" w:cs="Times New Roman" w:hint="eastAsia"/>
          <w:bCs/>
          <w:sz w:val="21"/>
          <w:szCs w:val="21"/>
        </w:rPr>
        <w:t xml:space="preserve">undergo spin relaxation during</w:t>
      </w:r>
      <w:r>
        <w:rPr>
          <w:rFonts w:ascii="Times New Roman" w:hAnsi="Times New Roman" w:cs="Times New Roman"/>
          <w:bCs/>
          <w:sz w:val="21"/>
          <w:szCs w:val="21"/>
        </w:rPr>
        <w:t xml:space="preserve"> the</w:t>
      </w:r>
      <w:r>
        <w:rPr>
          <w:rFonts w:ascii="Times New Roman" w:hAnsi="Times New Roman" w:cs="Times New Roman" w:hint="eastAsia"/>
          <w:bCs/>
          <w:sz w:val="21"/>
          <w:szCs w:val="21"/>
        </w:rPr>
        <w:t xml:space="preserve"> transfer, losing its original spin characteristic and changing to the other state</w:t>
      </w:r>
      <w:r>
        <w:rPr>
          <w:rFonts w:ascii="Times New Roman" w:hAnsi="Times New Roman" w:cs="Times New Roman"/>
          <w:bCs/>
          <w:sz w:val="21"/>
          <w:szCs w:val="21"/>
        </w:rPr>
        <w:t xml:space="preserve">,</w:t>
      </w:r>
      <w:r>
        <w:rPr>
          <w:rFonts w:ascii="Times New Roman" w:hAnsi="Times New Roman" w:cs="Times New Roman" w:hint="eastAsia"/>
          <w:bCs/>
          <w:sz w:val="21"/>
          <w:szCs w:val="21"/>
        </w:rPr>
        <w:t xml:space="preserve"> due to spin-orbital coupling, hyperfine interaction, etc</w:t>
      </w:r>
      <w:r>
        <w:rPr>
          <w:rFonts w:ascii="Times New Roman" w:hAnsi="Times New Roman" w:cs="Times New Roman"/>
          <w:bCs/>
          <w:sz w:val="21"/>
          <w:szCs w:val="21"/>
        </w:rPr>
        <w:t xml:space="preserve">.</w:t>
      </w:r>
      <w:r>
        <w:rPr>
          <w:rFonts w:ascii="Times New Roman" w:hAnsi="Times New Roman" w:cs="Times New Roman"/>
          <w:bCs/>
          <w:sz w:val="21"/>
          <w:szCs w:val="21"/>
        </w:rPr>
        <w:fldChar w:fldCharType="begin"/>
      </w:r>
      <w:r>
        <w:rPr>
          <w:rFonts w:ascii="Times New Roman" w:hAnsi="Times New Roman" w:cs="Times New Roman"/>
          <w:bCs/>
          <w:sz w:val="21"/>
          <w:szCs w:val="21"/>
        </w:rPr>
        <w:instrText xml:space="preserve">ADDIN CSL_CITATION {"citationItems":[{"id":"ITEM-1","itemData":{"DOI":"10.1038/s41467-020-143</w:instrText>
      </w:r>
      <w:r>
        <w:rPr>
          <w:rFonts w:ascii="Times New Roman" w:hAnsi="Times New Roman" w:cs="Times New Roman"/>
          <w:bCs/>
          <w:sz w:val="21"/>
          <w:szCs w:val="21"/>
        </w:rPr>
        <w:instrText xml:space="preserve">33-w","ISSN":"20411723","PMID":"31964887","abstract":"Photocatalysis has been regarded as a promising strategy for hydrogen production and high-value-added chemicals synthesis, in which the activity of photocatalyst depends significantly on their electroni</w:instrText>
      </w:r>
      <w:r>
        <w:rPr>
          <w:rFonts w:ascii="Times New Roman" w:hAnsi="Times New Roman" w:cs="Times New Roman"/>
          <w:bCs/>
          <w:sz w:val="21"/>
          <w:szCs w:val="21"/>
        </w:rPr>
        <w:instrText xml:space="preserve">c structures, however the effect of electron spin polarization has been rarely considered. Here we report a controllable method to manipulate its electron spin polarization by tuning the concentration of Ti vacancies. The characterizations confirm the emer</w:instrText>
      </w:r>
      <w:r>
        <w:rPr>
          <w:rFonts w:ascii="Times New Roman" w:hAnsi="Times New Roman" w:cs="Times New Roman"/>
          <w:bCs/>
          <w:sz w:val="21"/>
          <w:szCs w:val="21"/>
        </w:rPr>
        <w:instrText xml:space="preserve">gence of spatial spin polarization among Ti-defected TiO2, which promotes the efficiency of charge separation and surface reaction via the parallel alignment of electron spin orientation. Specifically, Ti0.936O2, possessing intensive spin polarization, per</w:instrText>
      </w:r>
      <w:r>
        <w:rPr>
          <w:rFonts w:ascii="Times New Roman" w:hAnsi="Times New Roman" w:cs="Times New Roman"/>
          <w:bCs/>
          <w:sz w:val="21"/>
          <w:szCs w:val="21"/>
        </w:rPr>
        <w:instrText xml:space="preserve">forms 20-fold increased photocatalytic hydrogen evolution and 8-fold increased phenol photodegradation rates, compared with stoichiometric TiO2. Notably, we further observed the positive effect of external magnetic fields on photocatalytic activity of spin</w:instrText>
      </w:r>
      <w:r>
        <w:rPr>
          <w:rFonts w:ascii="Times New Roman" w:hAnsi="Times New Roman" w:cs="Times New Roman"/>
          <w:bCs/>
          <w:sz w:val="21"/>
          <w:szCs w:val="21"/>
        </w:rPr>
        <w:instrText xml:space="preserve">-polarized TiO2, attributed to the enhanced electron-spin parallel alignment. This work may create the opportunity for tailoring the spin-dependent electronic structures in metal oxides.","author":[{"dropping-particle":"","family":"Pan","given":"Lun","non-</w:instrText>
      </w:r>
      <w:r>
        <w:rPr>
          <w:rFonts w:ascii="Times New Roman" w:hAnsi="Times New Roman" w:cs="Times New Roman"/>
          <w:bCs/>
          <w:sz w:val="21"/>
          <w:szCs w:val="21"/>
        </w:rPr>
        <w:instrText xml:space="preserve">dropping-particle":"","parse-names":false,"suffix":""},{"dropping-particle":"","family":"Ai","given":"Minhua","non-dropping-particle":"","parse-names":false,"suffix":""},{"dropping-particle":"","family":"Huang","given":"Chenyu","non-dropping-particle":"","</w:instrText>
      </w:r>
      <w:r>
        <w:rPr>
          <w:rFonts w:ascii="Times New Roman" w:hAnsi="Times New Roman" w:cs="Times New Roman"/>
          <w:bCs/>
          <w:sz w:val="21"/>
          <w:szCs w:val="21"/>
        </w:rPr>
        <w:instrText xml:space="preserve">parse-names":false,"suffix":""},{"dropping-particle":"","family":"Yin","given":"Li","non-dropping-particle":"","parse-names":false,"suffix":""},{"dropping-particle":"","family":"Liu","given":"Xiang","non-dropping-particle":"","parse-names":false,"suffix":"</w:instrText>
      </w:r>
      <w:r>
        <w:rPr>
          <w:rFonts w:ascii="Times New Roman" w:hAnsi="Times New Roman" w:cs="Times New Roman"/>
          <w:bCs/>
          <w:sz w:val="21"/>
          <w:szCs w:val="21"/>
        </w:rPr>
        <w:instrText xml:space="preserve">"},{"dropping-particle":"","family":"Zhang","given":"Rongrong","non-dropping-particle":"","parse-names":false,"suffix":""},{"dropping-particle":"","family":"Wang","given":"Songbo","non-dropping-particle":"","parse-names":false,"suffix":""},{"dropping-parti</w:instrText>
      </w:r>
      <w:r>
        <w:rPr>
          <w:rFonts w:ascii="Times New Roman" w:hAnsi="Times New Roman" w:cs="Times New Roman"/>
          <w:bCs/>
          <w:sz w:val="21"/>
          <w:szCs w:val="21"/>
        </w:rPr>
        <w:instrText xml:space="preserve">cle":"","family":"Jiang","given":"Zheng","non-dropping-particle":"","parse-names":false,"suffix":""},{"dropping-particle":"","family":"Zhang","given":"Xiangwen","non-dropping-particle":"","parse-names":false,"suffix":""},{"dropping-particle":"","family":"Z</w:instrText>
      </w:r>
      <w:r>
        <w:rPr>
          <w:rFonts w:ascii="Times New Roman" w:hAnsi="Times New Roman" w:cs="Times New Roman"/>
          <w:bCs/>
          <w:sz w:val="21"/>
          <w:szCs w:val="21"/>
        </w:rPr>
        <w:instrText xml:space="preserve">ou","given":"Ji Jun","non-dropping-particle":"","parse-names":false,"suffix":""},{"dropping-particle":"","family":"Mi","given":"Wenbo","non-dropping-particle":"","parse-names":false,"suffix":""}],"container-title":"Nature Communications","id":"ITEM-1","iss</w:instrText>
      </w:r>
      <w:r>
        <w:rPr>
          <w:rFonts w:ascii="Times New Roman" w:hAnsi="Times New Roman" w:cs="Times New Roman"/>
          <w:bCs/>
          <w:sz w:val="21"/>
          <w:szCs w:val="21"/>
        </w:rPr>
        <w:instrText xml:space="preserve">ued":{"date-parts":[["2020"]]},"page":"418","title":"Manipulating spin polarization of titanium dioxide for efficient photocatalysis","type":"article-journal","volume":"11"},"uris":["http://www.mendeley.com/documents/?uuid=e15d27f4-4971-4d0d-b421-e978c6abb</w:instrText>
      </w:r>
      <w:r>
        <w:rPr>
          <w:rFonts w:ascii="Times New Roman" w:hAnsi="Times New Roman" w:cs="Times New Roman"/>
          <w:bCs/>
          <w:sz w:val="21"/>
          <w:szCs w:val="21"/>
        </w:rPr>
        <w:instrText xml:space="preserve">39f"]}],"mendeley":{"formattedCitation":"&lt;sup&gt;30&lt;/sup&gt;","plainTextFormattedCitation":"30","previouslyFormattedCitation":"&lt;sup&gt;30&lt;/sup&gt;"},"properties":{"noteIndex":0},"schema":"https://github.com/citation-style-language/schema/raw/master/csl-citation.json"}</w:instrText>
      </w:r>
      <w:r>
        <w:rPr>
          <w:rFonts w:ascii="Times New Roman" w:hAnsi="Times New Roman" w:cs="Times New Roman"/>
          <w:bCs/>
          <w:sz w:val="21"/>
          <w:szCs w:val="21"/>
        </w:rPr>
        <w:fldChar w:fldCharType="separate"/>
      </w:r>
      <w:r>
        <w:rPr>
          <w:rFonts w:ascii="Times New Roman" w:hAnsi="Times New Roman" w:cs="Times New Roman"/>
          <w:bCs/>
          <w:sz w:val="21"/>
          <w:szCs w:val="21"/>
          <w:vertAlign w:val="superscript"/>
        </w:rPr>
        <w:t xml:space="preserve">30</w:t>
      </w:r>
      <w:r>
        <w:rPr>
          <w:rFonts w:ascii="Times New Roman" w:hAnsi="Times New Roman" w:cs="Times New Roman"/>
          <w:bCs/>
          <w:sz w:val="21"/>
          <w:szCs w:val="21"/>
        </w:rPr>
        <w:fldChar w:fldCharType="end"/>
      </w:r>
      <w:r>
        <w:rPr>
          <w:rFonts w:ascii="Times New Roman" w:hAnsi="Times New Roman" w:cs="Times New Roman" w:hint="eastAsia"/>
          <w:bCs/>
          <w:sz w:val="21"/>
          <w:szCs w:val="21"/>
        </w:rPr>
        <w:t xml:space="preserve"> </w:t>
      </w:r>
      <w:r>
        <w:rPr>
          <w:rFonts w:ascii="Times New Roman" w:hAnsi="Times New Roman" w:cs="Times New Roman"/>
          <w:bCs/>
          <w:sz w:val="21"/>
          <w:szCs w:val="21"/>
        </w:rPr>
        <w:t xml:space="preserve">Upon recombination, </w:t>
      </w:r>
      <w:r>
        <w:rPr>
          <w:rFonts w:ascii="Times New Roman" w:hAnsi="Times New Roman" w:cs="Times New Roman"/>
          <w:bCs/>
          <w:sz w:val="21"/>
          <w:szCs w:val="21"/>
        </w:rPr>
        <w:t xml:space="preserve">the</w:t>
      </w:r>
      <w:r>
        <w:rPr>
          <w:rFonts w:ascii="Times New Roman" w:hAnsi="Times New Roman" w:cs="Times New Roman"/>
          <w:bCs/>
          <w:sz w:val="21"/>
          <w:szCs w:val="21"/>
        </w:rPr>
        <w:t xml:space="preserve"> </w:t>
      </w:r>
      <w:r>
        <w:rPr>
          <w:rFonts w:ascii="Times New Roman" w:hAnsi="Times New Roman" w:cs="Times New Roman"/>
          <w:bCs/>
          <w:sz w:val="21"/>
          <w:szCs w:val="21"/>
        </w:rPr>
        <w:t xml:space="preserve">slow process of spin flipping</w:t>
      </w:r>
      <w:r>
        <w:rPr>
          <w:rFonts w:ascii="Times New Roman" w:hAnsi="Times New Roman" w:cs="Times New Roman"/>
          <w:bCs/>
          <w:sz w:val="21"/>
          <w:szCs w:val="21"/>
        </w:rPr>
        <w:t xml:space="preserve"> and opposite Lorentz forces</w:t>
      </w:r>
      <w:r>
        <w:rPr>
          <w:rFonts w:ascii="Times New Roman" w:hAnsi="Times New Roman" w:cs="Times New Roman"/>
          <w:bCs/>
          <w:sz w:val="21"/>
          <w:szCs w:val="21"/>
        </w:rPr>
        <w:t xml:space="preserve">, resulting in a prolonged exciton lifetime</w:t>
      </w:r>
      <w:r>
        <w:rPr>
          <w:rFonts w:ascii="Times New Roman" w:hAnsi="Times New Roman" w:cs="Times New Roman"/>
          <w:bCs/>
          <w:sz w:val="21"/>
          <w:szCs w:val="21"/>
        </w:rPr>
        <w:t xml:space="preserve">, </w:t>
      </w:r>
      <w:r>
        <w:rPr>
          <w:rFonts w:ascii="Times New Roman" w:hAnsi="Times New Roman" w:cs="Times New Roman"/>
          <w:bCs/>
          <w:sz w:val="21"/>
          <w:szCs w:val="21"/>
        </w:rPr>
        <w:t xml:space="preserve">as </w:t>
      </w:r>
      <w:r>
        <w:rPr>
          <w:rFonts w:ascii="Times New Roman" w:hAnsi="Times New Roman" w:cs="Times New Roman"/>
          <w:bCs/>
          <w:sz w:val="21"/>
          <w:szCs w:val="21"/>
        </w:rPr>
        <w:t xml:space="preserve">observed by our TRPL</w:t>
      </w:r>
      <w:r>
        <w:rPr>
          <w:rFonts w:ascii="Times New Roman" w:hAnsi="Times New Roman" w:cs="Times New Roman"/>
          <w:bCs/>
          <w:sz w:val="21"/>
          <w:szCs w:val="21"/>
        </w:rPr>
        <w:t xml:space="preserve"> </w:t>
      </w:r>
      <w:r>
        <w:rPr>
          <w:rFonts w:ascii="Times New Roman" w:hAnsi="Times New Roman" w:cs="Times New Roman"/>
          <w:bCs/>
          <w:sz w:val="21"/>
          <w:szCs w:val="21"/>
        </w:rPr>
        <w:t xml:space="preserve">a</w:t>
      </w:r>
      <w:r>
        <w:rPr>
          <w:rFonts w:ascii="Times New Roman" w:hAnsi="Times New Roman" w:cs="Times New Roman"/>
          <w:bCs/>
          <w:sz w:val="21"/>
          <w:szCs w:val="21"/>
        </w:rPr>
        <w:t xml:space="preserve">nd</w:t>
      </w:r>
      <w:r>
        <w:rPr>
          <w:rFonts w:ascii="Times New Roman" w:hAnsi="Times New Roman" w:cs="Times New Roman"/>
          <w:bCs/>
          <w:sz w:val="21"/>
          <w:szCs w:val="21"/>
        </w:rPr>
        <w:t xml:space="preserve"> illustrated in </w:t>
      </w:r>
      <w:r>
        <w:rPr>
          <w:rFonts w:ascii="Times New Roman" w:hAnsi="Times New Roman" w:cs="Times New Roman"/>
          <w:bCs/>
          <w:color w:val="FF0000"/>
          <w:sz w:val="21"/>
          <w:szCs w:val="21"/>
        </w:rPr>
        <w:t xml:space="preserve">Fig. 6a</w:t>
      </w:r>
      <w:r>
        <w:rPr>
          <w:rFonts w:ascii="Times New Roman" w:hAnsi="Times New Roman" w:cs="Times New Roman"/>
          <w:bCs/>
          <w:sz w:val="21"/>
          <w:szCs w:val="21"/>
        </w:rPr>
        <w:t xml:space="preserve">.</w:t>
      </w:r>
      <w:r>
        <w:rPr>
          <w:rFonts w:ascii="Times New Roman" w:hAnsi="Times New Roman" w:cs="Times New Roman"/>
          <w:bCs/>
          <w:sz w:val="21"/>
          <w:szCs w:val="21"/>
        </w:rPr>
        <w:t xml:space="preserve"> The prolonged </w:t>
      </w:r>
      <w:r>
        <w:rPr>
          <w:rFonts w:ascii="Times New Roman" w:hAnsi="Times New Roman" w:cs="Times New Roman"/>
          <w:bCs/>
          <w:sz w:val="21"/>
          <w:szCs w:val="21"/>
        </w:rPr>
        <w:t xml:space="preserve">lifetimes of the photogenerated charged species reduce their chance for recombination, enhance the diffusion to surface and greatly facilitate the H</w:t>
      </w:r>
      <w:r>
        <w:rPr>
          <w:rFonts w:ascii="Times New Roman" w:hAnsi="Times New Roman" w:cs="Times New Roman"/>
          <w:bCs/>
          <w:sz w:val="21"/>
          <w:szCs w:val="21"/>
          <w:vertAlign w:val="superscript"/>
        </w:rPr>
        <w:t xml:space="preserve">+</w:t>
      </w:r>
      <w:r>
        <w:rPr>
          <w:rFonts w:ascii="Times New Roman" w:hAnsi="Times New Roman" w:cs="Times New Roman"/>
          <w:bCs/>
          <w:sz w:val="21"/>
          <w:szCs w:val="21"/>
        </w:rPr>
        <w:t xml:space="preserve"> reduction and </w:t>
      </w:r>
      <w:r>
        <w:rPr>
          <w:rFonts w:ascii="Times New Roman" w:hAnsi="Times New Roman" w:cs="Times New Roman"/>
          <w:bCs/>
          <w:sz w:val="21"/>
          <w:szCs w:val="21"/>
        </w:rPr>
        <w:t xml:space="preserve">OH</w:t>
      </w:r>
      <w:r>
        <w:rPr>
          <w:rFonts w:ascii="Times New Roman" w:hAnsi="Times New Roman" w:cs="Times New Roman"/>
          <w:bCs/>
          <w:sz w:val="21"/>
          <w:szCs w:val="21"/>
          <w:vertAlign w:val="superscript"/>
        </w:rPr>
        <w:t xml:space="preserve">̶  </w:t>
      </w:r>
      <w:r>
        <w:rPr>
          <w:rFonts w:ascii="Times New Roman" w:hAnsi="Times New Roman" w:cs="Times New Roman"/>
          <w:bCs/>
          <w:sz w:val="21"/>
          <w:szCs w:val="21"/>
        </w:rPr>
        <w:t xml:space="preserve">oxidation</w:t>
      </w:r>
      <w:r>
        <w:rPr>
          <w:rFonts w:ascii="Times New Roman" w:hAnsi="Times New Roman" w:cs="Times New Roman"/>
          <w:bCs/>
          <w:sz w:val="21"/>
          <w:szCs w:val="21"/>
        </w:rPr>
        <w:t xml:space="preserve"> from water </w:t>
      </w:r>
      <w:r>
        <w:rPr>
          <w:rFonts w:ascii="Times New Roman" w:hAnsi="Times New Roman" w:cs="Times New Roman"/>
          <w:bCs/>
          <w:sz w:val="21"/>
          <w:szCs w:val="21"/>
          <w:vertAlign w:val="superscript"/>
        </w:rPr>
        <w:t xml:space="preserve">29</w:t>
      </w:r>
      <w:r>
        <w:rPr>
          <w:rFonts w:ascii="Times New Roman" w:hAnsi="Times New Roman" w:cs="Times New Roman"/>
          <w:bCs/>
          <w:sz w:val="21"/>
          <w:szCs w:val="21"/>
        </w:rPr>
        <w:t xml:space="preserve">. </w:t>
      </w:r>
      <w:r/>
    </w:p>
    <w:p>
      <w:pPr>
        <w:jc w:val="both"/>
        <w:rPr>
          <w:rFonts w:ascii="Times New Roman" w:hAnsi="Times New Roman" w:cs="Times New Roman"/>
          <w:bCs/>
          <w:sz w:val="21"/>
          <w:szCs w:val="21"/>
        </w:rPr>
      </w:pPr>
      <w:r>
        <w:rPr>
          <w:rFonts w:ascii="Times New Roman" w:hAnsi="Times New Roman" w:cs="Times New Roman"/>
          <w:bCs/>
          <w:sz w:val="21"/>
          <w:szCs w:val="21"/>
        </w:rPr>
        <w:t xml:space="preserve">C</w:t>
      </w:r>
      <w:r>
        <w:rPr>
          <w:rFonts w:ascii="Times New Roman" w:hAnsi="Times New Roman" w:cs="Times New Roman"/>
          <w:bCs/>
          <w:sz w:val="21"/>
          <w:szCs w:val="21"/>
        </w:rPr>
        <w:t xml:space="preserve">oncerning the potential of practical applications of a POWS system, QE and STH</w:t>
      </w:r>
      <w:r>
        <w:rPr>
          <w:rFonts w:ascii="Times New Roman" w:hAnsi="Times New Roman" w:cs="Times New Roman"/>
          <w:bCs/>
          <w:sz w:val="21"/>
          <w:szCs w:val="21"/>
        </w:rPr>
        <w:t xml:space="preserve"> efficiency</w:t>
      </w:r>
      <w:r>
        <w:rPr>
          <w:rFonts w:ascii="Times New Roman" w:hAnsi="Times New Roman" w:cs="Times New Roman"/>
          <w:bCs/>
          <w:sz w:val="21"/>
          <w:szCs w:val="21"/>
        </w:rPr>
        <w:t xml:space="preserve"> are widely recognised as parameters that can be directly compared when evaluating different POWS systems</w:t>
      </w:r>
      <w:r>
        <w:rPr>
          <w:rFonts w:ascii="Times New Roman" w:hAnsi="Times New Roman" w:cs="Times New Roman"/>
          <w:bCs/>
          <w:sz w:val="21"/>
          <w:szCs w:val="21"/>
        </w:rPr>
        <w:fldChar w:fldCharType="begin"/>
      </w:r>
      <w:r>
        <w:rPr>
          <w:rFonts w:ascii="Times New Roman" w:hAnsi="Times New Roman" w:cs="Times New Roman"/>
          <w:bCs/>
          <w:sz w:val="21"/>
          <w:szCs w:val="21"/>
        </w:rPr>
        <w:instrText xml:space="preserve">ADDIN CSL_CITATION {"citatio</w:instrText>
      </w:r>
      <w:r>
        <w:rPr>
          <w:rFonts w:ascii="Times New Roman" w:hAnsi="Times New Roman" w:cs="Times New Roman"/>
          <w:bCs/>
          <w:sz w:val="21"/>
          <w:szCs w:val="21"/>
        </w:rPr>
        <w:instrText xml:space="preserve">nItems":[{"id":"ITEM-1","itemData":{"DOI":"10.1039/c8cs00542g","ISSN":"14604744","abstract":"Overall water splitting based on particulate photocatalysts is an easily constructed and cost-effective technology for the conversion of abundant solar energy into</w:instrText>
      </w:r>
      <w:r>
        <w:rPr>
          <w:rFonts w:ascii="Times New Roman" w:hAnsi="Times New Roman" w:cs="Times New Roman"/>
          <w:bCs/>
          <w:sz w:val="21"/>
          <w:szCs w:val="21"/>
        </w:rPr>
        <w:instrText xml:space="preserve"> clean and renewable hydrogen energy on a large scale. This promising technology can be achieved in a one-step excitation system using a single photocatalyst or via a Z-scheme process based on a pair of photocatalysts. Ideally, such photocatalysis will pro</w:instrText>
      </w:r>
      <w:r>
        <w:rPr>
          <w:rFonts w:ascii="Times New Roman" w:hAnsi="Times New Roman" w:cs="Times New Roman"/>
          <w:bCs/>
          <w:sz w:val="21"/>
          <w:szCs w:val="21"/>
        </w:rPr>
        <w:instrText xml:space="preserve">ceed with charge separation and transport unaffected by recombination and trapping, and surface catalytic processes will not involve undesirable reactions. This review summarizes the basics of overall water splitting via both one-step excitation and Z-sche</w:instrText>
      </w:r>
      <w:r>
        <w:rPr>
          <w:rFonts w:ascii="Times New Roman" w:hAnsi="Times New Roman" w:cs="Times New Roman"/>
          <w:bCs/>
          <w:sz w:val="21"/>
          <w:szCs w:val="21"/>
        </w:rPr>
        <w:instrText xml:space="preserve">me processes, with a focus on standard methods of determining photocatalytic performance. Various surface engineering strategies applied to photocatalysts, such as cocatalyst loading, surface morphology control, surface modification and surface phase junct</w:instrText>
      </w:r>
      <w:r>
        <w:rPr>
          <w:rFonts w:ascii="Times New Roman" w:hAnsi="Times New Roman" w:cs="Times New Roman"/>
          <w:bCs/>
          <w:sz w:val="21"/>
          <w:szCs w:val="21"/>
        </w:rPr>
        <w:instrText xml:space="preserve">ions, have been developed to allow efficient one-step excitation overall water splitting. In addition, numerous visible-light-responsive photocatalysts have been successfully utilized as H 2 -evolution or O 2 -evolution photocatalysts in Z-scheme overall w</w:instrText>
      </w:r>
      <w:r>
        <w:rPr>
          <w:rFonts w:ascii="Times New Roman" w:hAnsi="Times New Roman" w:cs="Times New Roman"/>
          <w:bCs/>
          <w:sz w:val="21"/>
          <w:szCs w:val="21"/>
        </w:rPr>
        <w:instrText xml:space="preserve">ater splitting. Prototype particulate immobilization systems with photocatalytic performances comparable to or drastically higher than those of particle suspension systems suggest the exciting possibility of the large-scale production of low-cost renewable</w:instrText>
      </w:r>
      <w:r>
        <w:rPr>
          <w:rFonts w:ascii="Times New Roman" w:hAnsi="Times New Roman" w:cs="Times New Roman"/>
          <w:bCs/>
          <w:sz w:val="21"/>
          <w:szCs w:val="21"/>
        </w:rPr>
        <w:instrText xml:space="preserve"> solar hydrogen.","author":[{"dropping-particle":"","family":"Wang","given":"Zheng","non-dropping-particle":"","parse-names":false,"suffix":""},{"dropping-particle":"","family":"Li","given":"Can","non-dropping-particle":"","parse-names":false,"suffix":""},</w:instrText>
      </w:r>
      <w:r>
        <w:rPr>
          <w:rFonts w:ascii="Times New Roman" w:hAnsi="Times New Roman" w:cs="Times New Roman"/>
          <w:bCs/>
          <w:sz w:val="21"/>
          <w:szCs w:val="21"/>
        </w:rPr>
        <w:instrText xml:space="preserve">{"dropping-particle":"","family":"Domen","given":"Kazunari","non-dropping-particle":"","parse-names":false,"suffix":""}],"container-title":"Chemical Society Reviews","id":"ITEM-1","issue":"7","issued":{"date-parts":[["2019"]]},"page":"2109-2125","publisher</w:instrText>
      </w:r>
      <w:r>
        <w:rPr>
          <w:rFonts w:ascii="Times New Roman" w:hAnsi="Times New Roman" w:cs="Times New Roman"/>
          <w:bCs/>
          <w:sz w:val="21"/>
          <w:szCs w:val="21"/>
        </w:rPr>
        <w:instrText xml:space="preserve">":"Royal Society of Chemistry","title":"Recent developments in heterogeneous photocatalysts for solar-driven overall water splitting","type":"article-journal","volume":"48"},"uris":["http://www.mendeley.com/documents/?uuid=5c0513aa-bdc1-4f0e-ba74-d11174fbb</w:instrText>
      </w:r>
      <w:r>
        <w:rPr>
          <w:rFonts w:ascii="Times New Roman" w:hAnsi="Times New Roman" w:cs="Times New Roman"/>
          <w:bCs/>
          <w:sz w:val="21"/>
          <w:szCs w:val="21"/>
        </w:rPr>
        <w:instrText xml:space="preserve">038"]}],"mendeley":{"formattedCitation":"&lt;sup&gt;31&lt;/sup&gt;","plainTextFormattedCitation":"31","previouslyFormattedCitation":"&lt;sup&gt;31&lt;/sup&gt;"},"properties":{"noteIndex":0},"schema":"https://github.com/citation-style-language/schema/raw/master/csl-citation.json"}</w:instrText>
      </w:r>
      <w:r>
        <w:rPr>
          <w:rFonts w:ascii="Times New Roman" w:hAnsi="Times New Roman" w:cs="Times New Roman"/>
          <w:bCs/>
          <w:sz w:val="21"/>
          <w:szCs w:val="21"/>
        </w:rPr>
        <w:fldChar w:fldCharType="separate"/>
      </w:r>
      <w:r>
        <w:rPr>
          <w:rFonts w:ascii="Times New Roman" w:hAnsi="Times New Roman" w:cs="Times New Roman"/>
          <w:bCs/>
          <w:sz w:val="21"/>
          <w:szCs w:val="21"/>
          <w:vertAlign w:val="superscript"/>
        </w:rPr>
        <w:t xml:space="preserve">31</w:t>
      </w:r>
      <w:r>
        <w:rPr>
          <w:rFonts w:ascii="Times New Roman" w:hAnsi="Times New Roman" w:cs="Times New Roman"/>
          <w:bCs/>
          <w:sz w:val="21"/>
          <w:szCs w:val="21"/>
        </w:rPr>
        <w:fldChar w:fldCharType="end"/>
      </w:r>
      <w:r>
        <w:rPr>
          <w:rFonts w:ascii="Times New Roman" w:hAnsi="Times New Roman" w:cs="Times New Roman"/>
          <w:bCs/>
          <w:sz w:val="21"/>
          <w:szCs w:val="21"/>
        </w:rPr>
        <w:t xml:space="preserve">. QE is the ratio of the number of H</w:t>
      </w:r>
      <w:r>
        <w:rPr>
          <w:rFonts w:ascii="Times New Roman" w:hAnsi="Times New Roman" w:cs="Times New Roman"/>
          <w:bCs/>
          <w:sz w:val="21"/>
          <w:szCs w:val="21"/>
          <w:vertAlign w:val="subscript"/>
        </w:rPr>
        <w:t xml:space="preserve">2</w:t>
      </w:r>
      <w:r>
        <w:rPr>
          <w:rFonts w:ascii="Times New Roman" w:hAnsi="Times New Roman" w:cs="Times New Roman"/>
          <w:bCs/>
          <w:sz w:val="21"/>
          <w:szCs w:val="21"/>
        </w:rPr>
        <w:t xml:space="preserve"> molecules evolved to the number of photons of a given energy that shines on the photocatalyst. So, it is normally measured at a certain</w:t>
      </w:r>
      <w:r>
        <w:rPr>
          <w:rFonts w:ascii="Times New Roman" w:hAnsi="Times New Roman" w:cs="Times New Roman"/>
          <w:bCs/>
          <w:sz w:val="21"/>
          <w:szCs w:val="21"/>
        </w:rPr>
        <w:t xml:space="preserve"> wavelength rather than a wide spectrum, so as to understand the behaviours of a photocatalytic system at different wavelengths. While STH is a standardised index focusing on the overall energy conversion efficiency from the solar energy to chemical energy</w:t>
      </w:r>
      <w:r>
        <w:rPr>
          <w:rFonts w:ascii="Times New Roman" w:hAnsi="Times New Roman" w:cs="Times New Roman"/>
          <w:bCs/>
          <w:sz w:val="21"/>
          <w:szCs w:val="21"/>
        </w:rPr>
        <w:t xml:space="preserve">.</w:t>
      </w:r>
      <w:r>
        <w:rPr>
          <w:rFonts w:ascii="Times New Roman" w:hAnsi="Times New Roman" w:cs="Times New Roman"/>
          <w:bCs/>
          <w:sz w:val="21"/>
          <w:szCs w:val="21"/>
        </w:rPr>
        <w:t xml:space="preserve"> In this work, QEs of Fe</w:t>
      </w:r>
      <w:r>
        <w:rPr>
          <w:rFonts w:ascii="Times New Roman" w:hAnsi="Times New Roman" w:cs="Times New Roman"/>
          <w:bCs/>
          <w:sz w:val="21"/>
          <w:szCs w:val="21"/>
          <w:vertAlign w:val="subscript"/>
        </w:rPr>
        <w:t xml:space="preserve">3</w:t>
      </w:r>
      <w:r>
        <w:rPr>
          <w:rFonts w:ascii="Times New Roman" w:hAnsi="Times New Roman" w:cs="Times New Roman"/>
          <w:bCs/>
          <w:sz w:val="21"/>
          <w:szCs w:val="21"/>
        </w:rPr>
        <w:t xml:space="preserve">O</w:t>
      </w:r>
      <w:r>
        <w:rPr>
          <w:rFonts w:ascii="Times New Roman" w:hAnsi="Times New Roman" w:cs="Times New Roman"/>
          <w:bCs/>
          <w:sz w:val="21"/>
          <w:szCs w:val="21"/>
          <w:vertAlign w:val="subscript"/>
        </w:rPr>
        <w:t xml:space="preserve">4</w:t>
      </w:r>
      <w:r>
        <w:rPr>
          <w:rFonts w:ascii="Times New Roman" w:hAnsi="Times New Roman" w:cs="Times New Roman"/>
          <w:bCs/>
          <w:sz w:val="21"/>
          <w:szCs w:val="21"/>
        </w:rPr>
        <w:t xml:space="preserve">/N-TiO</w:t>
      </w:r>
      <w:r>
        <w:rPr>
          <w:rFonts w:ascii="Times New Roman" w:hAnsi="Times New Roman" w:cs="Times New Roman"/>
          <w:bCs/>
          <w:sz w:val="21"/>
          <w:szCs w:val="21"/>
          <w:vertAlign w:val="subscript"/>
        </w:rPr>
        <w:t xml:space="preserve">2</w:t>
      </w:r>
      <w:r>
        <w:rPr>
          <w:rFonts w:ascii="Times New Roman" w:hAnsi="Times New Roman" w:cs="Times New Roman"/>
          <w:bCs/>
          <w:sz w:val="21"/>
          <w:szCs w:val="21"/>
        </w:rPr>
        <w:t xml:space="preserve">-</w:t>
      </w:r>
      <w:r>
        <w:rPr>
          <w:rFonts w:ascii="Times New Roman" w:hAnsi="Times New Roman" w:cs="Times New Roman"/>
          <w:bCs/>
          <w:sz w:val="21"/>
          <w:szCs w:val="21"/>
        </w:rPr>
        <w:t xml:space="preserve">4</w:t>
      </w:r>
      <w:r>
        <w:rPr>
          <w:rFonts w:ascii="Times New Roman" w:hAnsi="Times New Roman" w:cs="Times New Roman"/>
          <w:bCs/>
          <w:sz w:val="21"/>
          <w:szCs w:val="21"/>
        </w:rPr>
        <w:t xml:space="preserve"> were evaluated at different wavelengths using a 300W Xe lamp installed with bandpass filters of different wavelengths, and STH was tested under the irradiation of simulated AM 1.5G solar light generated by a </w:t>
      </w:r>
      <w:r>
        <w:rPr>
          <w:rFonts w:ascii="Times New Roman" w:hAnsi="Times New Roman" w:cs="Times New Roman"/>
          <w:bCs/>
          <w:sz w:val="21"/>
          <w:szCs w:val="21"/>
        </w:rPr>
        <w:t xml:space="preserve">VeraSol</w:t>
      </w:r>
      <w:r>
        <w:rPr>
          <w:rFonts w:ascii="Times New Roman" w:hAnsi="Times New Roman" w:cs="Times New Roman"/>
          <w:bCs/>
          <w:sz w:val="21"/>
          <w:szCs w:val="21"/>
        </w:rPr>
        <w:t xml:space="preserve"> solar simulator with the power of 100 </w:t>
      </w:r>
      <w:r>
        <w:rPr>
          <w:rFonts w:ascii="Times New Roman" w:hAnsi="Times New Roman" w:cs="Times New Roman"/>
          <w:bCs/>
          <w:sz w:val="21"/>
          <w:szCs w:val="21"/>
        </w:rPr>
        <w:t xml:space="preserve">mW</w:t>
      </w:r>
      <w:r>
        <w:rPr>
          <w:rFonts w:ascii="Times New Roman" w:hAnsi="Times New Roman" w:cs="Times New Roman"/>
          <w:bCs/>
          <w:sz w:val="21"/>
          <w:szCs w:val="21"/>
        </w:rPr>
        <w:t xml:space="preserve"> cm</w:t>
      </w:r>
      <w:r>
        <w:rPr>
          <w:rFonts w:ascii="Times New Roman" w:hAnsi="Times New Roman" w:cs="Times New Roman"/>
          <w:bCs/>
          <w:sz w:val="21"/>
          <w:szCs w:val="21"/>
          <w:vertAlign w:val="superscript"/>
        </w:rPr>
        <w:t xml:space="preserve">-2</w:t>
      </w:r>
      <w:r>
        <w:rPr>
          <w:rFonts w:ascii="Times New Roman" w:hAnsi="Times New Roman" w:cs="Times New Roman"/>
          <w:bCs/>
          <w:sz w:val="21"/>
          <w:szCs w:val="21"/>
        </w:rPr>
        <w:t xml:space="preserve"> (1 Sun). </w:t>
      </w:r>
      <w:r>
        <w:rPr>
          <w:rFonts w:ascii="Times New Roman" w:hAnsi="Times New Roman" w:cs="Times New Roman"/>
          <w:bCs/>
          <w:color w:val="FF0000"/>
          <w:sz w:val="21"/>
          <w:szCs w:val="21"/>
        </w:rPr>
        <w:t xml:space="preserve">Fig. </w:t>
      </w:r>
      <w:r>
        <w:rPr>
          <w:rFonts w:ascii="Times New Roman" w:hAnsi="Times New Roman" w:cs="Times New Roman"/>
          <w:bCs/>
          <w:color w:val="FF0000"/>
          <w:sz w:val="21"/>
          <w:szCs w:val="21"/>
        </w:rPr>
        <w:t xml:space="preserve">6</w:t>
      </w:r>
      <w:r>
        <w:rPr>
          <w:rFonts w:ascii="Times New Roman" w:hAnsi="Times New Roman" w:cs="Times New Roman"/>
          <w:bCs/>
          <w:color w:val="FF0000"/>
          <w:sz w:val="21"/>
          <w:szCs w:val="21"/>
        </w:rPr>
        <w:t xml:space="preserve">b</w:t>
      </w:r>
      <w:r>
        <w:rPr>
          <w:rFonts w:ascii="Times New Roman" w:hAnsi="Times New Roman" w:cs="Times New Roman"/>
          <w:bCs/>
          <w:sz w:val="21"/>
          <w:szCs w:val="21"/>
        </w:rPr>
        <w:t xml:space="preserve"> clearly shows that N-TiO</w:t>
      </w:r>
      <w:r>
        <w:rPr>
          <w:rFonts w:ascii="Times New Roman" w:hAnsi="Times New Roman" w:cs="Times New Roman"/>
          <w:bCs/>
          <w:sz w:val="21"/>
          <w:szCs w:val="21"/>
          <w:vertAlign w:val="subscript"/>
        </w:rPr>
        <w:t xml:space="preserve">2</w:t>
      </w:r>
      <w:r>
        <w:rPr>
          <w:rFonts w:ascii="Times New Roman" w:hAnsi="Times New Roman" w:cs="Times New Roman"/>
          <w:bCs/>
          <w:sz w:val="21"/>
          <w:szCs w:val="21"/>
        </w:rPr>
        <w:t xml:space="preserve">, although shows good QE at 437 nm, remains uninfluenced by the use of external magnetic field. The results shown </w:t>
      </w:r>
      <w:r>
        <w:rPr>
          <w:rFonts w:ascii="Times New Roman" w:hAnsi="Times New Roman" w:cs="Times New Roman"/>
          <w:bCs/>
          <w:sz w:val="21"/>
          <w:szCs w:val="21"/>
        </w:rPr>
        <w:t xml:space="preserve">in </w:t>
      </w:r>
      <w:r>
        <w:rPr>
          <w:rFonts w:ascii="Times New Roman" w:hAnsi="Times New Roman" w:cs="Times New Roman"/>
          <w:bCs/>
          <w:color w:val="FF0000"/>
          <w:sz w:val="21"/>
          <w:szCs w:val="21"/>
        </w:rPr>
        <w:t xml:space="preserve">Fig. </w:t>
      </w:r>
      <w:r>
        <w:rPr>
          <w:rFonts w:ascii="Times New Roman" w:hAnsi="Times New Roman" w:cs="Times New Roman"/>
          <w:bCs/>
          <w:color w:val="FF0000"/>
          <w:sz w:val="21"/>
          <w:szCs w:val="21"/>
        </w:rPr>
        <w:t xml:space="preserve">6</w:t>
      </w:r>
      <w:r>
        <w:rPr>
          <w:rFonts w:ascii="Times New Roman" w:hAnsi="Times New Roman" w:cs="Times New Roman"/>
          <w:bCs/>
          <w:color w:val="FF0000"/>
          <w:sz w:val="21"/>
          <w:szCs w:val="21"/>
        </w:rPr>
        <w:t xml:space="preserve">c</w:t>
      </w:r>
      <w:r>
        <w:rPr>
          <w:rFonts w:ascii="Times New Roman" w:hAnsi="Times New Roman" w:cs="Times New Roman"/>
          <w:bCs/>
          <w:sz w:val="21"/>
          <w:szCs w:val="21"/>
        </w:rPr>
        <w:t xml:space="preserve"> present an </w:t>
      </w:r>
      <w:r>
        <w:rPr>
          <w:rFonts w:ascii="Times New Roman" w:hAnsi="Times New Roman" w:cs="Times New Roman" w:hint="eastAsia"/>
          <w:bCs/>
          <w:sz w:val="21"/>
          <w:szCs w:val="21"/>
        </w:rPr>
        <w:t xml:space="preserve">imp</w:t>
      </w:r>
      <w:r>
        <w:rPr>
          <w:rFonts w:ascii="Times New Roman" w:hAnsi="Times New Roman" w:cs="Times New Roman"/>
          <w:bCs/>
          <w:sz w:val="21"/>
          <w:szCs w:val="21"/>
        </w:rPr>
        <w:t xml:space="preserve">ressive QE of 77.3% at 437 nm without external magnetic field over Fe</w:t>
      </w:r>
      <w:r>
        <w:rPr>
          <w:rFonts w:ascii="Times New Roman" w:hAnsi="Times New Roman" w:cs="Times New Roman"/>
          <w:bCs/>
          <w:sz w:val="21"/>
          <w:szCs w:val="21"/>
          <w:vertAlign w:val="subscript"/>
        </w:rPr>
        <w:t xml:space="preserve">3</w:t>
      </w:r>
      <w:r>
        <w:rPr>
          <w:rFonts w:ascii="Times New Roman" w:hAnsi="Times New Roman" w:cs="Times New Roman"/>
          <w:bCs/>
          <w:sz w:val="21"/>
          <w:szCs w:val="21"/>
        </w:rPr>
        <w:t xml:space="preserve">O</w:t>
      </w:r>
      <w:r>
        <w:rPr>
          <w:rFonts w:ascii="Times New Roman" w:hAnsi="Times New Roman" w:cs="Times New Roman"/>
          <w:bCs/>
          <w:sz w:val="21"/>
          <w:szCs w:val="21"/>
          <w:vertAlign w:val="subscript"/>
        </w:rPr>
        <w:t xml:space="preserve">4</w:t>
      </w:r>
      <w:r>
        <w:rPr>
          <w:rFonts w:ascii="Times New Roman" w:hAnsi="Times New Roman" w:cs="Times New Roman"/>
          <w:bCs/>
          <w:sz w:val="21"/>
          <w:szCs w:val="21"/>
        </w:rPr>
        <w:t xml:space="preserve">/</w:t>
      </w:r>
      <w:r>
        <w:rPr>
          <w:rFonts w:ascii="Times New Roman" w:hAnsi="Times New Roman" w:cs="Times New Roman"/>
          <w:bCs/>
          <w:sz w:val="21"/>
          <w:szCs w:val="21"/>
        </w:rPr>
        <w:t xml:space="preserve">N-</w:t>
      </w:r>
      <w:r>
        <w:rPr>
          <w:rFonts w:ascii="Times New Roman" w:hAnsi="Times New Roman" w:cs="Times New Roman"/>
          <w:bCs/>
          <w:sz w:val="21"/>
          <w:szCs w:val="21"/>
        </w:rPr>
        <w:t xml:space="preserve">TiO</w:t>
      </w:r>
      <w:r>
        <w:rPr>
          <w:rFonts w:ascii="Times New Roman" w:hAnsi="Times New Roman" w:cs="Times New Roman"/>
          <w:bCs/>
          <w:sz w:val="21"/>
          <w:szCs w:val="21"/>
          <w:vertAlign w:val="subscript"/>
        </w:rPr>
        <w:t xml:space="preserve">2</w:t>
      </w:r>
      <w:r>
        <w:rPr>
          <w:rFonts w:ascii="Times New Roman" w:hAnsi="Times New Roman" w:cs="Times New Roman"/>
          <w:bCs/>
          <w:sz w:val="21"/>
          <w:szCs w:val="21"/>
        </w:rPr>
        <w:t xml:space="preserve">-</w:t>
      </w:r>
      <w:r>
        <w:rPr>
          <w:rFonts w:ascii="Times New Roman" w:hAnsi="Times New Roman" w:cs="Times New Roman"/>
          <w:bCs/>
          <w:sz w:val="21"/>
          <w:szCs w:val="21"/>
        </w:rPr>
        <w:t xml:space="preserve">4</w:t>
      </w:r>
      <w:r>
        <w:rPr>
          <w:rFonts w:ascii="Times New Roman" w:hAnsi="Times New Roman" w:cs="Times New Roman"/>
          <w:bCs/>
          <w:sz w:val="21"/>
          <w:szCs w:val="21"/>
        </w:rPr>
        <w:t xml:space="preserve">, while</w:t>
      </w:r>
      <w:r>
        <w:rPr>
          <w:rFonts w:ascii="Times New Roman" w:hAnsi="Times New Roman" w:cs="Times New Roman"/>
          <w:bCs/>
          <w:sz w:val="21"/>
          <w:szCs w:val="21"/>
        </w:rPr>
        <w:t xml:space="preserve"> the QEs dropped</w:t>
      </w:r>
      <w:r>
        <w:rPr>
          <w:rFonts w:ascii="Times New Roman" w:hAnsi="Times New Roman" w:cs="Times New Roman"/>
          <w:bCs/>
          <w:sz w:val="21"/>
          <w:szCs w:val="21"/>
        </w:rPr>
        <w:t xml:space="preserve"> at </w:t>
      </w:r>
      <w:r>
        <w:rPr>
          <w:rFonts w:ascii="Times New Roman" w:hAnsi="Times New Roman" w:cs="Times New Roman"/>
          <w:bCs/>
          <w:sz w:val="21"/>
          <w:szCs w:val="21"/>
        </w:rPr>
        <w:t xml:space="preserve">longer wavelengths</w:t>
      </w:r>
      <w:r>
        <w:rPr>
          <w:rFonts w:ascii="Times New Roman" w:hAnsi="Times New Roman" w:cs="Times New Roman"/>
          <w:bCs/>
          <w:sz w:val="21"/>
          <w:szCs w:val="21"/>
        </w:rPr>
        <w:t xml:space="preserve">. Excitingly, when the external magnetic field was applied, the QEs of each wavelength increased to different </w:t>
      </w:r>
      <w:r>
        <w:rPr>
          <w:rFonts w:ascii="Times New Roman" w:hAnsi="Times New Roman" w:cs="Times New Roman"/>
          <w:bCs/>
          <w:sz w:val="21"/>
          <w:szCs w:val="21"/>
        </w:rPr>
        <w:t xml:space="preserve">extent, </w:t>
      </w:r>
      <w:r>
        <w:rPr>
          <w:rFonts w:ascii="Times New Roman" w:hAnsi="Times New Roman" w:cs="Times New Roman"/>
          <w:bCs/>
          <w:sz w:val="21"/>
          <w:szCs w:val="21"/>
        </w:rPr>
        <w:t xml:space="preserve">giving an extraordinary QE of 90.3% at 437 nm (</w:t>
      </w:r>
      <w:r>
        <w:rPr>
          <w:rFonts w:ascii="Times New Roman" w:hAnsi="Times New Roman" w:cs="Times New Roman"/>
          <w:bCs/>
          <w:color w:val="FF0000"/>
          <w:sz w:val="21"/>
          <w:szCs w:val="21"/>
        </w:rPr>
        <w:t xml:space="preserve">Supplementary Note </w:t>
      </w:r>
      <w:r>
        <w:rPr>
          <w:rFonts w:ascii="Times New Roman" w:hAnsi="Times New Roman" w:cs="Times New Roman"/>
          <w:bCs/>
          <w:color w:val="FF0000"/>
          <w:sz w:val="21"/>
          <w:szCs w:val="21"/>
        </w:rPr>
        <w:t xml:space="preserve">3</w:t>
      </w:r>
      <w:r>
        <w:rPr>
          <w:rFonts w:ascii="Times New Roman" w:hAnsi="Times New Roman" w:cs="Times New Roman"/>
          <w:bCs/>
          <w:sz w:val="21"/>
          <w:szCs w:val="21"/>
        </w:rPr>
        <w:t xml:space="preserve">), and the QE at 750 nm was increased by more than 3 times, </w:t>
      </w:r>
      <w:r>
        <w:rPr>
          <w:rFonts w:ascii="Times New Roman" w:hAnsi="Times New Roman" w:cs="Times New Roman"/>
          <w:bCs/>
          <w:sz w:val="21"/>
          <w:szCs w:val="21"/>
        </w:rPr>
        <w:t xml:space="preserve">as shown in </w:t>
      </w:r>
      <w:r>
        <w:rPr>
          <w:rFonts w:ascii="Times New Roman" w:hAnsi="Times New Roman" w:cs="Times New Roman"/>
          <w:bCs/>
          <w:color w:val="FF0000"/>
          <w:sz w:val="21"/>
          <w:szCs w:val="21"/>
        </w:rPr>
        <w:t xml:space="preserve">Fig. </w:t>
      </w:r>
      <w:r>
        <w:rPr>
          <w:rFonts w:ascii="Times New Roman" w:hAnsi="Times New Roman" w:cs="Times New Roman"/>
          <w:bCs/>
          <w:color w:val="FF0000"/>
          <w:sz w:val="21"/>
          <w:szCs w:val="21"/>
        </w:rPr>
        <w:t xml:space="preserve">6</w:t>
      </w:r>
      <w:r>
        <w:rPr>
          <w:rFonts w:ascii="Times New Roman" w:hAnsi="Times New Roman" w:cs="Times New Roman"/>
          <w:bCs/>
          <w:color w:val="FF0000"/>
          <w:sz w:val="21"/>
          <w:szCs w:val="21"/>
        </w:rPr>
        <w:t xml:space="preserve">c</w:t>
      </w:r>
      <w:r>
        <w:rPr>
          <w:rFonts w:ascii="Times New Roman" w:hAnsi="Times New Roman" w:cs="Times New Roman"/>
          <w:bCs/>
          <w:sz w:val="21"/>
          <w:szCs w:val="21"/>
        </w:rPr>
        <w:t xml:space="preserve">.</w:t>
      </w:r>
      <w:r>
        <w:rPr>
          <w:rFonts w:ascii="Times New Roman" w:hAnsi="Times New Roman" w:cs="Times New Roman"/>
          <w:bCs/>
          <w:sz w:val="21"/>
          <w:szCs w:val="21"/>
        </w:rPr>
        <w:t xml:space="preserve"> Moreover, a QE of 24.1% can be obtained even at NIR regime of 1000 nm. </w:t>
      </w:r>
      <w:r>
        <w:rPr>
          <w:rFonts w:ascii="Times New Roman" w:hAnsi="Times New Roman" w:cs="Times New Roman"/>
          <w:bCs/>
          <w:sz w:val="21"/>
          <w:szCs w:val="21"/>
        </w:rPr>
        <w:t xml:space="preserve">Additionally, using Fe</w:t>
      </w:r>
      <w:r>
        <w:rPr>
          <w:rFonts w:ascii="Times New Roman" w:hAnsi="Times New Roman" w:cs="Times New Roman"/>
          <w:bCs/>
          <w:sz w:val="21"/>
          <w:szCs w:val="21"/>
          <w:vertAlign w:val="subscript"/>
        </w:rPr>
        <w:t xml:space="preserve">3</w:t>
      </w:r>
      <w:r>
        <w:rPr>
          <w:rFonts w:ascii="Times New Roman" w:hAnsi="Times New Roman" w:cs="Times New Roman"/>
          <w:bCs/>
          <w:sz w:val="21"/>
          <w:szCs w:val="21"/>
        </w:rPr>
        <w:t xml:space="preserve">O</w:t>
      </w:r>
      <w:r>
        <w:rPr>
          <w:rFonts w:ascii="Times New Roman" w:hAnsi="Times New Roman" w:cs="Times New Roman"/>
          <w:bCs/>
          <w:sz w:val="21"/>
          <w:szCs w:val="21"/>
          <w:vertAlign w:val="subscript"/>
        </w:rPr>
        <w:t xml:space="preserve">4</w:t>
      </w:r>
      <w:r>
        <w:rPr>
          <w:rFonts w:ascii="Times New Roman" w:hAnsi="Times New Roman" w:cs="Times New Roman"/>
          <w:bCs/>
          <w:sz w:val="21"/>
          <w:szCs w:val="21"/>
        </w:rPr>
        <w:t xml:space="preserve">/</w:t>
      </w:r>
      <w:r>
        <w:rPr>
          <w:rFonts w:ascii="Times New Roman" w:hAnsi="Times New Roman" w:cs="Times New Roman"/>
          <w:bCs/>
          <w:sz w:val="21"/>
          <w:szCs w:val="21"/>
        </w:rPr>
        <w:t xml:space="preserve">N-TiO</w:t>
      </w:r>
      <w:r>
        <w:rPr>
          <w:rFonts w:ascii="Times New Roman" w:hAnsi="Times New Roman" w:cs="Times New Roman"/>
          <w:bCs/>
          <w:sz w:val="21"/>
          <w:szCs w:val="21"/>
          <w:vertAlign w:val="subscript"/>
        </w:rPr>
        <w:t xml:space="preserve">2</w:t>
      </w:r>
      <w:r>
        <w:rPr>
          <w:rFonts w:ascii="Times New Roman" w:hAnsi="Times New Roman" w:cs="Times New Roman"/>
          <w:bCs/>
          <w:sz w:val="21"/>
          <w:szCs w:val="21"/>
        </w:rPr>
        <w:t xml:space="preserve">-</w:t>
      </w:r>
      <w:r>
        <w:rPr>
          <w:rFonts w:ascii="Times New Roman" w:hAnsi="Times New Roman" w:cs="Times New Roman"/>
          <w:bCs/>
          <w:sz w:val="21"/>
          <w:szCs w:val="21"/>
        </w:rPr>
        <w:t xml:space="preserve">4</w:t>
      </w:r>
      <w:r>
        <w:rPr>
          <w:rFonts w:ascii="Times New Roman" w:hAnsi="Times New Roman" w:cs="Times New Roman"/>
          <w:bCs/>
          <w:sz w:val="21"/>
          <w:szCs w:val="21"/>
        </w:rPr>
        <w:t xml:space="preserve"> photocatalyst, an extraordinary STH of</w:t>
      </w:r>
      <w:r>
        <w:rPr>
          <w:rFonts w:ascii="Times New Roman" w:hAnsi="Times New Roman" w:cs="Times New Roman"/>
          <w:bCs/>
          <w:sz w:val="21"/>
          <w:szCs w:val="21"/>
        </w:rPr>
        <w:t xml:space="preserve"> 12.2% was also achieved from such POWS system in a magnetic field of 1500 Oe, which, to the best of our knowledge, surpasses all the reported values in similar particulate systems (</w:t>
      </w:r>
      <w:r>
        <w:rPr>
          <w:rFonts w:ascii="Times New Roman" w:hAnsi="Times New Roman" w:cs="Times New Roman"/>
          <w:bCs/>
          <w:color w:val="FF0000"/>
          <w:sz w:val="21"/>
          <w:szCs w:val="21"/>
        </w:rPr>
        <w:t xml:space="preserve">Supplementary Table </w:t>
      </w:r>
      <w:r>
        <w:rPr>
          <w:rFonts w:ascii="Times New Roman" w:hAnsi="Times New Roman" w:cs="Times New Roman"/>
          <w:bCs/>
          <w:color w:val="FF0000"/>
          <w:sz w:val="21"/>
          <w:szCs w:val="21"/>
        </w:rPr>
        <w:t xml:space="preserve">5</w:t>
      </w:r>
      <w:r>
        <w:rPr>
          <w:rFonts w:ascii="Times New Roman" w:hAnsi="Times New Roman" w:cs="Times New Roman"/>
          <w:bCs/>
          <w:sz w:val="21"/>
          <w:szCs w:val="21"/>
        </w:rPr>
        <w:t xml:space="preserve">and</w:t>
      </w:r>
      <w:r>
        <w:rPr>
          <w:rFonts w:ascii="Times New Roman" w:hAnsi="Times New Roman" w:cs="Times New Roman"/>
          <w:bCs/>
          <w:color w:val="FF0000"/>
          <w:sz w:val="21"/>
          <w:szCs w:val="21"/>
        </w:rPr>
        <w:t xml:space="preserve"> Supplementary Note</w:t>
      </w:r>
      <w:r>
        <w:rPr>
          <w:rFonts w:ascii="Times New Roman" w:hAnsi="Times New Roman" w:cs="Times New Roman"/>
          <w:bCs/>
          <w:color w:val="FF0000"/>
          <w:sz w:val="21"/>
          <w:szCs w:val="21"/>
        </w:rPr>
        <w:t xml:space="preserve"> 4</w:t>
      </w:r>
      <w:r>
        <w:rPr>
          <w:rFonts w:ascii="Times New Roman" w:hAnsi="Times New Roman" w:cs="Times New Roman"/>
          <w:bCs/>
          <w:sz w:val="21"/>
          <w:szCs w:val="21"/>
        </w:rPr>
        <w:t xml:space="preserve">). Stability of the </w:t>
      </w:r>
      <w:r>
        <w:rPr>
          <w:rFonts w:ascii="Times New Roman" w:hAnsi="Times New Roman" w:cs="Times New Roman"/>
          <w:bCs/>
          <w:sz w:val="21"/>
          <w:szCs w:val="21"/>
        </w:rPr>
        <w:t xml:space="preserve">Fe</w:t>
      </w:r>
      <w:r>
        <w:rPr>
          <w:rFonts w:ascii="Times New Roman" w:hAnsi="Times New Roman" w:cs="Times New Roman"/>
          <w:bCs/>
          <w:sz w:val="21"/>
          <w:szCs w:val="21"/>
          <w:vertAlign w:val="subscript"/>
        </w:rPr>
        <w:t xml:space="preserve">3</w:t>
      </w:r>
      <w:r>
        <w:rPr>
          <w:rFonts w:ascii="Times New Roman" w:hAnsi="Times New Roman" w:cs="Times New Roman"/>
          <w:bCs/>
          <w:sz w:val="21"/>
          <w:szCs w:val="21"/>
        </w:rPr>
        <w:t xml:space="preserve">O</w:t>
      </w:r>
      <w:r>
        <w:rPr>
          <w:rFonts w:ascii="Times New Roman" w:hAnsi="Times New Roman" w:cs="Times New Roman"/>
          <w:bCs/>
          <w:sz w:val="21"/>
          <w:szCs w:val="21"/>
          <w:vertAlign w:val="subscript"/>
        </w:rPr>
        <w:t xml:space="preserve">4</w:t>
      </w:r>
      <w:r>
        <w:rPr>
          <w:rFonts w:ascii="Times New Roman" w:hAnsi="Times New Roman" w:cs="Times New Roman"/>
          <w:bCs/>
          <w:sz w:val="21"/>
          <w:szCs w:val="21"/>
        </w:rPr>
        <w:t xml:space="preserve">/</w:t>
      </w:r>
      <w:r>
        <w:rPr>
          <w:rFonts w:ascii="Times New Roman" w:hAnsi="Times New Roman" w:cs="Times New Roman"/>
          <w:bCs/>
          <w:sz w:val="21"/>
          <w:szCs w:val="21"/>
        </w:rPr>
        <w:t xml:space="preserve">N-TiO</w:t>
      </w:r>
      <w:r>
        <w:rPr>
          <w:rFonts w:ascii="Times New Roman" w:hAnsi="Times New Roman" w:cs="Times New Roman"/>
          <w:bCs/>
          <w:sz w:val="21"/>
          <w:szCs w:val="21"/>
          <w:vertAlign w:val="subscript"/>
        </w:rPr>
        <w:t xml:space="preserve">2</w:t>
      </w:r>
      <w:r>
        <w:rPr>
          <w:rFonts w:ascii="Times New Roman" w:hAnsi="Times New Roman" w:cs="Times New Roman"/>
          <w:bCs/>
          <w:sz w:val="21"/>
          <w:szCs w:val="21"/>
        </w:rPr>
        <w:t xml:space="preserve">-</w:t>
      </w:r>
      <w:r>
        <w:rPr>
          <w:rFonts w:ascii="Times New Roman" w:hAnsi="Times New Roman" w:cs="Times New Roman"/>
          <w:bCs/>
          <w:sz w:val="21"/>
          <w:szCs w:val="21"/>
        </w:rPr>
        <w:t xml:space="preserve">4</w:t>
      </w:r>
      <w:r>
        <w:rPr>
          <w:rFonts w:ascii="Times New Roman" w:hAnsi="Times New Roman" w:cs="Times New Roman"/>
          <w:bCs/>
          <w:sz w:val="21"/>
          <w:szCs w:val="21"/>
        </w:rPr>
        <w:t xml:space="preserve"> photocatalyst</w:t>
      </w:r>
      <w:r>
        <w:rPr>
          <w:rFonts w:ascii="Times New Roman" w:hAnsi="Times New Roman" w:cs="Times New Roman"/>
          <w:bCs/>
          <w:sz w:val="21"/>
          <w:szCs w:val="21"/>
        </w:rPr>
        <w:t xml:space="preserve"> was also evaluated by recycling the catalysts for 5 times, which showed no obvious change of the photocatalytic activities (</w:t>
      </w:r>
      <w:r>
        <w:rPr>
          <w:rFonts w:ascii="Times New Roman" w:hAnsi="Times New Roman" w:cs="Times New Roman"/>
          <w:bCs/>
          <w:color w:val="FF0000"/>
          <w:sz w:val="21"/>
          <w:szCs w:val="21"/>
        </w:rPr>
        <w:t xml:space="preserve">Fig. </w:t>
      </w:r>
      <w:r>
        <w:rPr>
          <w:rFonts w:ascii="Times New Roman" w:hAnsi="Times New Roman" w:cs="Times New Roman"/>
          <w:bCs/>
          <w:color w:val="FF0000"/>
          <w:sz w:val="21"/>
          <w:szCs w:val="21"/>
        </w:rPr>
        <w:t xml:space="preserve">6</w:t>
      </w:r>
      <w:r>
        <w:rPr>
          <w:rFonts w:ascii="Times New Roman" w:hAnsi="Times New Roman" w:cs="Times New Roman"/>
          <w:bCs/>
          <w:color w:val="FF0000"/>
          <w:sz w:val="21"/>
          <w:szCs w:val="21"/>
        </w:rPr>
        <w:t xml:space="preserve">d</w:t>
      </w:r>
      <w:r>
        <w:rPr>
          <w:rFonts w:ascii="Times New Roman" w:hAnsi="Times New Roman" w:cs="Times New Roman"/>
          <w:bCs/>
          <w:sz w:val="21"/>
          <w:szCs w:val="21"/>
        </w:rPr>
        <w:t xml:space="preserve">).</w:t>
      </w:r>
      <w:r/>
    </w:p>
    <w:p>
      <w:pPr>
        <w:jc w:val="center"/>
        <w:rPr>
          <w:rFonts w:ascii="Times New Roman" w:hAnsi="Times New Roman" w:cs="Times New Roman"/>
          <w:bCs/>
          <w:sz w:val="21"/>
          <w:szCs w:val="21"/>
        </w:rPr>
      </w:pPr>
      <w:r>
        <w:rPr>
          <w:rFonts w:ascii="Times New Roman" w:hAnsi="Times New Roman" w:cs="Times New Roman"/>
          <w:bCs/>
          <w:sz w:val="21"/>
          <w:szCs w:val="21"/>
          <w:lang w:eastAsia="en-GB"/>
        </w:rPr>
        <mc:AlternateContent>
          <mc:Choice Requires="wpg">
            <w:drawing>
              <wp:inline xmlns:wp="http://schemas.openxmlformats.org/drawingml/2006/wordprocessingDrawing" distT="0" distB="0" distL="0" distR="0">
                <wp:extent cx="5400000" cy="4805821"/>
                <wp:effectExtent l="0" t="0" r="0" b="0"/>
                <wp:docPr id="6" name="图片 1"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hidden="0"/>
                        <pic:cNvPicPr>
                          <a:picLocks noChangeAspect="1"/>
                        </pic:cNvPicPr>
                        <pic:nvPr isPhoto="0" userDrawn="0"/>
                      </pic:nvPicPr>
                      <pic:blipFill>
                        <a:blip r:embed="rId17"/>
                        <a:stretch/>
                      </pic:blipFill>
                      <pic:spPr bwMode="auto">
                        <a:xfrm>
                          <a:off x="0" y="0"/>
                          <a:ext cx="5400000" cy="480582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425.2pt;height:378.4pt;" stroked="false">
                <v:path textboxrect="0,0,0,0"/>
                <v:imagedata r:id="rId17" o:title=""/>
              </v:shape>
            </w:pict>
          </mc:Fallback>
        </mc:AlternateContent>
      </w:r>
      <w:r/>
    </w:p>
    <w:p>
      <w:pPr>
        <w:jc w:val="both"/>
        <w:spacing w:lineRule="exact" w:line="400" w:after="156"/>
        <w:rPr>
          <w:rFonts w:ascii="Times New Roman" w:hAnsi="Times New Roman" w:cs="Times New Roman"/>
          <w:bCs/>
          <w:sz w:val="18"/>
          <w:szCs w:val="18"/>
        </w:rPr>
      </w:pPr>
      <w:r>
        <w:rPr>
          <w:rFonts w:ascii="Times New Roman" w:hAnsi="Times New Roman" w:cs="Times New Roman" w:hint="eastAsia"/>
          <w:b/>
          <w:sz w:val="18"/>
          <w:szCs w:val="18"/>
        </w:rPr>
        <w:t xml:space="preserve">F</w:t>
      </w:r>
      <w:r>
        <w:rPr>
          <w:rFonts w:ascii="Times New Roman" w:hAnsi="Times New Roman" w:cs="Times New Roman"/>
          <w:b/>
          <w:sz w:val="18"/>
          <w:szCs w:val="18"/>
        </w:rPr>
        <w:t xml:space="preserve">ig</w:t>
      </w:r>
      <w:r>
        <w:rPr>
          <w:rFonts w:ascii="Times New Roman" w:hAnsi="Times New Roman" w:cs="Times New Roman"/>
          <w:b/>
          <w:sz w:val="18"/>
          <w:szCs w:val="18"/>
        </w:rPr>
        <w:t xml:space="preserve">ure</w:t>
      </w:r>
      <w:r>
        <w:rPr>
          <w:rFonts w:ascii="Times New Roman" w:hAnsi="Times New Roman" w:cs="Times New Roman"/>
          <w:b/>
          <w:sz w:val="18"/>
          <w:szCs w:val="18"/>
        </w:rPr>
        <w:t xml:space="preserve"> </w:t>
      </w:r>
      <w:r>
        <w:rPr>
          <w:rFonts w:ascii="Times New Roman" w:hAnsi="Times New Roman" w:cs="Times New Roman"/>
          <w:b/>
          <w:sz w:val="18"/>
          <w:szCs w:val="18"/>
        </w:rPr>
        <w:t xml:space="preserve">6</w:t>
      </w:r>
      <w:r>
        <w:rPr>
          <w:rFonts w:ascii="Times New Roman" w:hAnsi="Times New Roman" w:cs="Times New Roman"/>
          <w:b/>
          <w:sz w:val="18"/>
          <w:szCs w:val="18"/>
        </w:rPr>
        <w:t xml:space="preserve"> </w:t>
      </w:r>
      <w:r>
        <w:rPr>
          <w:rFonts w:ascii="Times New Roman" w:hAnsi="Times New Roman" w:cs="Times New Roman"/>
          <w:bCs/>
          <w:sz w:val="18"/>
          <w:szCs w:val="18"/>
        </w:rPr>
        <w:t xml:space="preserve">Proposed mechanism and QE tests of the POWS system. </w:t>
      </w:r>
      <w:r>
        <w:rPr>
          <w:rFonts w:ascii="Times New Roman" w:hAnsi="Times New Roman" w:cs="Times New Roman"/>
          <w:b/>
          <w:bCs/>
          <w:sz w:val="18"/>
          <w:szCs w:val="18"/>
        </w:rPr>
        <w:t xml:space="preserve">a</w:t>
      </w:r>
      <w:r>
        <w:rPr>
          <w:rFonts w:ascii="Times New Roman" w:hAnsi="Times New Roman" w:cs="Times New Roman"/>
          <w:sz w:val="18"/>
          <w:szCs w:val="18"/>
        </w:rPr>
        <w:t xml:space="preserve"> Schematic illustration of the magnetic field promoted POWS system, in which the charge separation process is facilitated by the induced local magnetic field; QE of </w:t>
      </w:r>
      <w:r>
        <w:rPr>
          <w:rFonts w:ascii="Times New Roman" w:hAnsi="Times New Roman" w:cs="Times New Roman"/>
          <w:bCs/>
          <w:sz w:val="18"/>
          <w:szCs w:val="18"/>
        </w:rPr>
        <w:t xml:space="preserve">N-TiO</w:t>
      </w:r>
      <w:r>
        <w:rPr>
          <w:rFonts w:ascii="Times New Roman" w:hAnsi="Times New Roman" w:cs="Times New Roman"/>
          <w:bCs/>
          <w:sz w:val="18"/>
          <w:szCs w:val="18"/>
          <w:vertAlign w:val="subscript"/>
        </w:rPr>
        <w:t xml:space="preserve">2</w:t>
      </w:r>
      <w:r>
        <w:rPr>
          <w:rFonts w:ascii="Times New Roman" w:hAnsi="Times New Roman" w:cs="Times New Roman"/>
          <w:bCs/>
          <w:sz w:val="18"/>
          <w:szCs w:val="18"/>
        </w:rPr>
        <w:t xml:space="preserve"> </w:t>
      </w:r>
      <w:r>
        <w:rPr>
          <w:rFonts w:ascii="Times New Roman" w:hAnsi="Times New Roman" w:cs="Times New Roman"/>
          <w:b/>
          <w:bCs/>
          <w:sz w:val="18"/>
          <w:szCs w:val="18"/>
        </w:rPr>
        <w:t xml:space="preserve">(b)</w:t>
      </w:r>
      <w:r>
        <w:rPr>
          <w:rFonts w:ascii="Times New Roman" w:hAnsi="Times New Roman" w:cs="Times New Roman"/>
          <w:bCs/>
          <w:sz w:val="18"/>
          <w:szCs w:val="18"/>
        </w:rPr>
        <w:t xml:space="preserve"> and Fe</w:t>
      </w:r>
      <w:r>
        <w:rPr>
          <w:rFonts w:ascii="Times New Roman" w:hAnsi="Times New Roman" w:cs="Times New Roman"/>
          <w:bCs/>
          <w:sz w:val="18"/>
          <w:szCs w:val="18"/>
          <w:vertAlign w:val="subscript"/>
        </w:rPr>
        <w:t xml:space="preserve">3</w:t>
      </w:r>
      <w:r>
        <w:rPr>
          <w:rFonts w:ascii="Times New Roman" w:hAnsi="Times New Roman" w:cs="Times New Roman"/>
          <w:bCs/>
          <w:sz w:val="18"/>
          <w:szCs w:val="18"/>
        </w:rPr>
        <w:t xml:space="preserve">O</w:t>
      </w:r>
      <w:r>
        <w:rPr>
          <w:rFonts w:ascii="Times New Roman" w:hAnsi="Times New Roman" w:cs="Times New Roman"/>
          <w:bCs/>
          <w:sz w:val="18"/>
          <w:szCs w:val="18"/>
          <w:vertAlign w:val="subscript"/>
        </w:rPr>
        <w:t xml:space="preserve">4</w:t>
      </w:r>
      <w:r>
        <w:rPr>
          <w:rFonts w:ascii="Times New Roman" w:hAnsi="Times New Roman" w:cs="Times New Roman"/>
          <w:bCs/>
          <w:sz w:val="18"/>
          <w:szCs w:val="18"/>
        </w:rPr>
        <w:t xml:space="preserve">/</w:t>
      </w:r>
      <w:r>
        <w:rPr>
          <w:rFonts w:ascii="Times New Roman" w:hAnsi="Times New Roman" w:cs="Times New Roman"/>
          <w:bCs/>
          <w:sz w:val="18"/>
          <w:szCs w:val="18"/>
        </w:rPr>
        <w:t xml:space="preserve">N-TiO</w:t>
      </w:r>
      <w:r>
        <w:rPr>
          <w:rFonts w:ascii="Times New Roman" w:hAnsi="Times New Roman" w:cs="Times New Roman"/>
          <w:bCs/>
          <w:sz w:val="18"/>
          <w:szCs w:val="18"/>
          <w:vertAlign w:val="subscript"/>
        </w:rPr>
        <w:t xml:space="preserve">2</w:t>
      </w:r>
      <w:r>
        <w:rPr>
          <w:rFonts w:ascii="Times New Roman" w:hAnsi="Times New Roman" w:cs="Times New Roman"/>
          <w:bCs/>
          <w:sz w:val="18"/>
          <w:szCs w:val="18"/>
        </w:rPr>
        <w:t xml:space="preserve">-</w:t>
      </w:r>
      <w:r>
        <w:rPr>
          <w:rFonts w:ascii="Times New Roman" w:hAnsi="Times New Roman" w:cs="Times New Roman"/>
          <w:bCs/>
          <w:sz w:val="18"/>
          <w:szCs w:val="18"/>
        </w:rPr>
        <w:t xml:space="preserve">4</w:t>
      </w:r>
      <w:r>
        <w:rPr>
          <w:rFonts w:ascii="Times New Roman" w:hAnsi="Times New Roman" w:cs="Times New Roman"/>
          <w:bCs/>
          <w:sz w:val="18"/>
          <w:szCs w:val="18"/>
        </w:rPr>
        <w:t xml:space="preserve"> </w:t>
      </w:r>
      <w:r>
        <w:rPr>
          <w:rFonts w:ascii="Times New Roman" w:hAnsi="Times New Roman" w:cs="Times New Roman"/>
          <w:b/>
          <w:bCs/>
          <w:sz w:val="18"/>
          <w:szCs w:val="18"/>
        </w:rPr>
        <w:t xml:space="preserve">(c)</w:t>
      </w:r>
      <w:r>
        <w:rPr>
          <w:rFonts w:ascii="Times New Roman" w:hAnsi="Times New Roman" w:cs="Times New Roman"/>
          <w:bCs/>
          <w:sz w:val="18"/>
          <w:szCs w:val="18"/>
        </w:rPr>
        <w:t xml:space="preserve"> photocatalysts with and without external magnetic field. (NMF=no magnetic field; MF=magnetic field) The apparent QE was measured in the same autoclave and was evaluated by adding certain amount of photocatalyst which contains 50 mg of TiO</w:t>
      </w:r>
      <w:r>
        <w:rPr>
          <w:rFonts w:ascii="Times New Roman" w:hAnsi="Times New Roman" w:cs="Times New Roman"/>
          <w:bCs/>
          <w:sz w:val="18"/>
          <w:szCs w:val="18"/>
          <w:vertAlign w:val="subscript"/>
        </w:rPr>
        <w:t xml:space="preserve">2</w:t>
      </w:r>
      <w:r>
        <w:rPr>
          <w:rFonts w:ascii="Times New Roman" w:hAnsi="Times New Roman" w:cs="Times New Roman"/>
          <w:bCs/>
          <w:sz w:val="18"/>
          <w:szCs w:val="18"/>
        </w:rPr>
        <w:t xml:space="preserve"> to 10 mL of Milli-Q H</w:t>
      </w:r>
      <w:r>
        <w:rPr>
          <w:rFonts w:ascii="Times New Roman" w:hAnsi="Times New Roman" w:cs="Times New Roman"/>
          <w:bCs/>
          <w:sz w:val="18"/>
          <w:szCs w:val="18"/>
          <w:vertAlign w:val="subscript"/>
        </w:rPr>
        <w:t xml:space="preserve">2</w:t>
      </w:r>
      <w:r>
        <w:rPr>
          <w:rFonts w:ascii="Times New Roman" w:hAnsi="Times New Roman" w:cs="Times New Roman"/>
          <w:bCs/>
          <w:sz w:val="18"/>
          <w:szCs w:val="18"/>
        </w:rPr>
        <w:t xml:space="preserve">O, then it was irradiated by a 300W Xenon lamp equipped with bandpass filters of 437 ± 10, 575 ± 25, 650 ± 20 and 750 ± 20, respectively. </w:t>
      </w:r>
      <w:r>
        <w:rPr>
          <w:rFonts w:ascii="Times New Roman" w:hAnsi="Times New Roman" w:cs="Times New Roman"/>
          <w:bCs/>
          <w:sz w:val="18"/>
          <w:szCs w:val="18"/>
        </w:rPr>
        <w:t xml:space="preserve">Each photocatalyst was used after deposition of 1 wt.% Au via photo-reduction method. </w:t>
      </w:r>
      <w:r>
        <w:rPr>
          <w:rFonts w:ascii="Times New Roman" w:hAnsi="Times New Roman" w:cs="Times New Roman"/>
          <w:bCs/>
          <w:sz w:val="18"/>
          <w:szCs w:val="18"/>
        </w:rPr>
        <w:t xml:space="preserve">Numbers of photons were calculated from the irradiation powers in each wavelength region measured by a light metre at the corresponding wavelengths.</w:t>
      </w:r>
      <w:r>
        <w:rPr>
          <w:rFonts w:ascii="Times New Roman" w:hAnsi="Times New Roman" w:cs="Times New Roman"/>
          <w:bCs/>
          <w:sz w:val="18"/>
          <w:szCs w:val="18"/>
        </w:rPr>
        <w:t xml:space="preserve"> </w:t>
      </w:r>
      <w:r>
        <w:rPr>
          <w:rFonts w:ascii="Times New Roman" w:hAnsi="Times New Roman" w:cs="Times New Roman"/>
          <w:bCs/>
          <w:sz w:val="18"/>
          <w:szCs w:val="18"/>
        </w:rPr>
        <w:t xml:space="preserve">Error bars indicate the standard deviation; </w:t>
      </w:r>
      <w:r>
        <w:rPr>
          <w:rFonts w:ascii="Times New Roman" w:hAnsi="Times New Roman" w:cs="Times New Roman"/>
          <w:b/>
          <w:sz w:val="18"/>
          <w:szCs w:val="18"/>
        </w:rPr>
        <w:t xml:space="preserve">d</w:t>
      </w:r>
      <w:r>
        <w:rPr>
          <w:rFonts w:ascii="Times New Roman" w:hAnsi="Times New Roman" w:cs="Times New Roman"/>
          <w:b/>
          <w:sz w:val="18"/>
          <w:szCs w:val="18"/>
        </w:rPr>
        <w:t xml:space="preserve"> </w:t>
      </w:r>
      <w:r>
        <w:rPr>
          <w:rFonts w:ascii="Times New Roman" w:hAnsi="Times New Roman" w:cs="Times New Roman"/>
          <w:bCs/>
          <w:sz w:val="18"/>
          <w:szCs w:val="18"/>
        </w:rPr>
        <w:t xml:space="preserve">Repeatable tests of Fe</w:t>
      </w:r>
      <w:r>
        <w:rPr>
          <w:rFonts w:ascii="Times New Roman" w:hAnsi="Times New Roman" w:cs="Times New Roman"/>
          <w:bCs/>
          <w:sz w:val="18"/>
          <w:szCs w:val="18"/>
          <w:vertAlign w:val="subscript"/>
        </w:rPr>
        <w:t xml:space="preserve">3</w:t>
      </w:r>
      <w:r>
        <w:rPr>
          <w:rFonts w:ascii="Times New Roman" w:hAnsi="Times New Roman" w:cs="Times New Roman"/>
          <w:bCs/>
          <w:sz w:val="18"/>
          <w:szCs w:val="18"/>
        </w:rPr>
        <w:t xml:space="preserve">O</w:t>
      </w:r>
      <w:r>
        <w:rPr>
          <w:rFonts w:ascii="Times New Roman" w:hAnsi="Times New Roman" w:cs="Times New Roman"/>
          <w:bCs/>
          <w:sz w:val="18"/>
          <w:szCs w:val="18"/>
          <w:vertAlign w:val="subscript"/>
        </w:rPr>
        <w:t xml:space="preserve">4</w:t>
      </w:r>
      <w:r>
        <w:rPr>
          <w:rFonts w:ascii="Times New Roman" w:hAnsi="Times New Roman" w:cs="Times New Roman"/>
          <w:bCs/>
          <w:sz w:val="18"/>
          <w:szCs w:val="18"/>
        </w:rPr>
        <w:t xml:space="preserve">/</w:t>
      </w:r>
      <w:r>
        <w:rPr>
          <w:rFonts w:ascii="Times New Roman" w:hAnsi="Times New Roman" w:cs="Times New Roman"/>
          <w:bCs/>
          <w:sz w:val="18"/>
          <w:szCs w:val="18"/>
        </w:rPr>
        <w:t xml:space="preserve">N-TiO</w:t>
      </w:r>
      <w:r>
        <w:rPr>
          <w:rFonts w:ascii="Times New Roman" w:hAnsi="Times New Roman" w:cs="Times New Roman"/>
          <w:bCs/>
          <w:sz w:val="18"/>
          <w:szCs w:val="18"/>
          <w:vertAlign w:val="subscript"/>
        </w:rPr>
        <w:t xml:space="preserve">2</w:t>
      </w:r>
      <w:r>
        <w:rPr>
          <w:rFonts w:ascii="Times New Roman" w:hAnsi="Times New Roman" w:cs="Times New Roman"/>
          <w:bCs/>
          <w:sz w:val="18"/>
          <w:szCs w:val="18"/>
        </w:rPr>
        <w:t xml:space="preserve">-</w:t>
      </w:r>
      <w:r>
        <w:rPr>
          <w:rFonts w:ascii="Times New Roman" w:hAnsi="Times New Roman" w:cs="Times New Roman"/>
          <w:bCs/>
          <w:sz w:val="18"/>
          <w:szCs w:val="18"/>
        </w:rPr>
        <w:t xml:space="preserve">4</w:t>
      </w:r>
      <w:r>
        <w:rPr>
          <w:rFonts w:ascii="Times New Roman" w:hAnsi="Times New Roman" w:cs="Times New Roman"/>
          <w:bCs/>
          <w:sz w:val="18"/>
          <w:szCs w:val="18"/>
        </w:rPr>
        <w:t xml:space="preserve"> photocatalyst at 270 </w:t>
      </w:r>
      <w:r>
        <w:rPr>
          <w:rFonts w:ascii="Times New Roman" w:hAnsi="Times New Roman" w:cs="Times New Roman"/>
          <w:bCs/>
          <w:sz w:val="18"/>
          <w:szCs w:val="18"/>
          <w:vertAlign w:val="superscript"/>
        </w:rPr>
        <w:t xml:space="preserve">o</w:t>
      </w:r>
      <w:r>
        <w:rPr>
          <w:rFonts w:ascii="Times New Roman" w:hAnsi="Times New Roman" w:cs="Times New Roman"/>
          <w:bCs/>
          <w:sz w:val="18"/>
          <w:szCs w:val="18"/>
        </w:rPr>
        <w:t xml:space="preserve">C</w:t>
      </w:r>
      <w:r>
        <w:rPr>
          <w:rFonts w:ascii="Times New Roman" w:hAnsi="Times New Roman" w:cs="Times New Roman"/>
          <w:bCs/>
          <w:sz w:val="18"/>
          <w:szCs w:val="18"/>
        </w:rPr>
        <w:t xml:space="preserve"> and 1500 Oe for 2 h followed by cooling to room temperature in each cycle, respectively.</w:t>
      </w:r>
      <w:r/>
    </w:p>
    <w:p>
      <w:pPr>
        <w:jc w:val="both"/>
        <w:spacing w:lineRule="exact" w:line="400" w:after="156"/>
        <w:rPr>
          <w:rFonts w:ascii="Times New Roman" w:hAnsi="Times New Roman" w:cs="Times New Roman"/>
          <w:bCs/>
          <w:sz w:val="18"/>
          <w:szCs w:val="18"/>
        </w:rPr>
      </w:pPr>
      <w:r>
        <w:rPr>
          <w:rFonts w:ascii="Times New Roman" w:hAnsi="Times New Roman" w:cs="Times New Roman"/>
          <w:bCs/>
          <w:sz w:val="18"/>
          <w:szCs w:val="18"/>
        </w:rPr>
      </w:r>
      <w:r/>
    </w:p>
    <w:p>
      <w:pPr>
        <w:pStyle w:val="646"/>
        <w:numPr>
          <w:ilvl w:val="0"/>
          <w:numId w:val="1"/>
        </w:numPr>
        <w:ind w:left="0"/>
        <w:jc w:val="both"/>
        <w:spacing w:lineRule="exact" w:line="400" w:after="156"/>
        <w:rPr>
          <w:rFonts w:ascii="Times New Roman" w:hAnsi="Times New Roman" w:cs="Times New Roman"/>
          <w:b/>
          <w:bCs/>
        </w:rPr>
      </w:pPr>
      <w:r>
        <w:rPr>
          <w:rFonts w:ascii="Times New Roman" w:hAnsi="Times New Roman" w:cs="Times New Roman" w:hint="eastAsia"/>
          <w:b/>
          <w:bCs/>
        </w:rPr>
        <w:t xml:space="preserve">C</w:t>
      </w:r>
      <w:r>
        <w:rPr>
          <w:rFonts w:ascii="Times New Roman" w:hAnsi="Times New Roman" w:cs="Times New Roman"/>
          <w:b/>
          <w:bCs/>
        </w:rPr>
        <w:t xml:space="preserve">onclusion</w:t>
      </w:r>
      <w:r/>
    </w:p>
    <w:p>
      <w:pPr>
        <w:jc w:val="both"/>
        <w:spacing w:lineRule="exact" w:line="400" w:after="156"/>
        <w:rPr>
          <w:rFonts w:ascii="Times New Roman" w:hAnsi="Times New Roman" w:cs="Times New Roman"/>
          <w:sz w:val="21"/>
          <w:szCs w:val="21"/>
        </w:rPr>
      </w:pPr>
      <w:r>
        <w:rPr>
          <w:rFonts w:ascii="Times New Roman" w:hAnsi="Times New Roman" w:cs="Times New Roman"/>
          <w:bCs/>
          <w:sz w:val="21"/>
          <w:szCs w:val="21"/>
        </w:rPr>
        <w:t xml:space="preserve">To summarize</w:t>
      </w:r>
      <w:r>
        <w:rPr>
          <w:rFonts w:ascii="Times New Roman" w:hAnsi="Times New Roman" w:cs="Times New Roman"/>
          <w:bCs/>
          <w:sz w:val="21"/>
          <w:szCs w:val="21"/>
        </w:rPr>
        <w:t xml:space="preserve">, </w:t>
      </w:r>
      <w:r>
        <w:rPr>
          <w:rFonts w:ascii="Times New Roman" w:hAnsi="Times New Roman" w:cs="Times New Roman"/>
          <w:bCs/>
          <w:sz w:val="21"/>
          <w:szCs w:val="21"/>
        </w:rPr>
        <w:t xml:space="preserve">e</w:t>
      </w:r>
      <w:r>
        <w:rPr>
          <w:rFonts w:ascii="Times New Roman" w:hAnsi="Times New Roman" w:cs="Times New Roman"/>
          <w:bCs/>
          <w:sz w:val="21"/>
          <w:szCs w:val="21"/>
        </w:rPr>
        <w:t xml:space="preserve">xceptional hydrogen evolution rate </w:t>
      </w:r>
      <w:r>
        <w:rPr>
          <w:rFonts w:ascii="Times New Roman" w:hAnsi="Times New Roman" w:cs="Times New Roman"/>
          <w:bCs/>
          <w:sz w:val="21"/>
          <w:szCs w:val="21"/>
        </w:rPr>
        <w:t xml:space="preserve">of 20550</w:t>
      </w:r>
      <w:r>
        <w:rPr>
          <w:rFonts w:ascii="Times New Roman" w:hAnsi="Times New Roman" w:cs="Times New Roman"/>
          <w:bCs/>
          <w:sz w:val="21"/>
          <w:szCs w:val="21"/>
        </w:rPr>
        <w:t xml:space="preserve"> </w:t>
      </w:r>
      <w:r>
        <w:rPr>
          <w:rFonts w:ascii="Times New Roman" w:hAnsi="Times New Roman" w:cs="Times New Roman"/>
          <w:bCs/>
          <w:sz w:val="21"/>
          <w:szCs w:val="21"/>
        </w:rPr>
        <w:t xml:space="preserve">µmol g</w:t>
      </w:r>
      <w:r>
        <w:rPr>
          <w:rFonts w:ascii="Times New Roman" w:hAnsi="Times New Roman" w:cs="Times New Roman"/>
          <w:bCs/>
          <w:sz w:val="21"/>
          <w:szCs w:val="21"/>
          <w:vertAlign w:val="superscript"/>
        </w:rPr>
        <w:t xml:space="preserve">-1</w:t>
      </w:r>
      <w:r>
        <w:rPr>
          <w:rFonts w:ascii="Times New Roman" w:hAnsi="Times New Roman" w:cs="Times New Roman"/>
          <w:bCs/>
          <w:sz w:val="21"/>
          <w:szCs w:val="21"/>
        </w:rPr>
        <w:t xml:space="preserve"> h</w:t>
      </w:r>
      <w:r>
        <w:rPr>
          <w:rFonts w:ascii="Times New Roman" w:hAnsi="Times New Roman" w:cs="Times New Roman"/>
          <w:bCs/>
          <w:sz w:val="21"/>
          <w:szCs w:val="21"/>
          <w:vertAlign w:val="superscript"/>
        </w:rPr>
        <w:t xml:space="preserve">-1</w:t>
      </w:r>
      <w:r>
        <w:rPr>
          <w:rFonts w:ascii="Times New Roman" w:hAnsi="Times New Roman" w:cs="Times New Roman"/>
          <w:bCs/>
          <w:sz w:val="21"/>
          <w:szCs w:val="21"/>
        </w:rPr>
        <w:t xml:space="preserve">an</w:t>
      </w:r>
      <w:r>
        <w:rPr>
          <w:rFonts w:ascii="Times New Roman" w:hAnsi="Times New Roman" w:cs="Times New Roman"/>
          <w:bCs/>
          <w:sz w:val="21"/>
          <w:szCs w:val="21"/>
        </w:rPr>
        <w:t xml:space="preserve">d QE of 90.3% at 437 nm </w:t>
      </w:r>
      <w:r>
        <w:rPr>
          <w:rFonts w:ascii="Times New Roman" w:hAnsi="Times New Roman" w:cs="Times New Roman"/>
          <w:bCs/>
          <w:sz w:val="21"/>
          <w:szCs w:val="21"/>
        </w:rPr>
        <w:t xml:space="preserve">at 270</w:t>
      </w:r>
      <w:r>
        <w:rPr>
          <w:rFonts w:ascii="Times New Roman" w:hAnsi="Times New Roman" w:cs="Times New Roman"/>
          <w:bCs/>
          <w:sz w:val="21"/>
          <w:szCs w:val="21"/>
          <w:vertAlign w:val="superscript"/>
        </w:rPr>
        <w:t xml:space="preserve">o</w:t>
      </w:r>
      <w:r>
        <w:rPr>
          <w:rFonts w:ascii="Times New Roman" w:hAnsi="Times New Roman" w:cs="Times New Roman"/>
          <w:bCs/>
          <w:sz w:val="21"/>
          <w:szCs w:val="21"/>
        </w:rPr>
        <w:t xml:space="preserve">C </w:t>
      </w:r>
      <w:r>
        <w:rPr>
          <w:rFonts w:ascii="Times New Roman" w:hAnsi="Times New Roman" w:cs="Times New Roman"/>
          <w:bCs/>
          <w:sz w:val="21"/>
          <w:szCs w:val="21"/>
        </w:rPr>
        <w:t xml:space="preserve">are obtained over the Fe</w:t>
      </w:r>
      <w:r>
        <w:rPr>
          <w:rFonts w:ascii="Times New Roman" w:hAnsi="Times New Roman" w:cs="Times New Roman"/>
          <w:bCs/>
          <w:sz w:val="21"/>
          <w:szCs w:val="21"/>
          <w:vertAlign w:val="subscript"/>
        </w:rPr>
        <w:t xml:space="preserve">3</w:t>
      </w:r>
      <w:r>
        <w:rPr>
          <w:rFonts w:ascii="Times New Roman" w:hAnsi="Times New Roman" w:cs="Times New Roman"/>
          <w:bCs/>
          <w:sz w:val="21"/>
          <w:szCs w:val="21"/>
        </w:rPr>
        <w:t xml:space="preserve">O</w:t>
      </w:r>
      <w:r>
        <w:rPr>
          <w:rFonts w:ascii="Times New Roman" w:hAnsi="Times New Roman" w:cs="Times New Roman"/>
          <w:bCs/>
          <w:sz w:val="21"/>
          <w:szCs w:val="21"/>
          <w:vertAlign w:val="subscript"/>
        </w:rPr>
        <w:t xml:space="preserve">4</w:t>
      </w:r>
      <w:r>
        <w:rPr>
          <w:rFonts w:ascii="Times New Roman" w:hAnsi="Times New Roman" w:cs="Times New Roman"/>
          <w:bCs/>
          <w:sz w:val="21"/>
          <w:szCs w:val="21"/>
        </w:rPr>
        <w:t xml:space="preserve"> encapsulated in </w:t>
      </w:r>
      <w:r>
        <w:rPr>
          <w:rFonts w:ascii="Times New Roman" w:hAnsi="Times New Roman" w:cs="Times New Roman"/>
          <w:bCs/>
          <w:sz w:val="21"/>
          <w:szCs w:val="21"/>
        </w:rPr>
        <w:t xml:space="preserve">N-TiO</w:t>
      </w:r>
      <w:r>
        <w:rPr>
          <w:rFonts w:ascii="Times New Roman" w:hAnsi="Times New Roman" w:cs="Times New Roman"/>
          <w:bCs/>
          <w:sz w:val="21"/>
          <w:szCs w:val="21"/>
          <w:vertAlign w:val="subscript"/>
        </w:rPr>
        <w:t xml:space="preserve">2</w:t>
      </w:r>
      <w:r>
        <w:rPr>
          <w:rFonts w:ascii="Times New Roman" w:hAnsi="Times New Roman" w:cs="Times New Roman"/>
          <w:bCs/>
          <w:sz w:val="21"/>
          <w:szCs w:val="21"/>
        </w:rPr>
        <w:t xml:space="preserve"> </w:t>
      </w:r>
      <w:r>
        <w:rPr>
          <w:rFonts w:ascii="Times New Roman" w:hAnsi="Times New Roman" w:cs="Times New Roman"/>
          <w:bCs/>
          <w:sz w:val="21"/>
          <w:szCs w:val="21"/>
        </w:rPr>
        <w:t xml:space="preserve">photocatalyst with an external magnetic field of </w:t>
      </w:r>
      <w:r>
        <w:rPr>
          <w:rFonts w:ascii="Times New Roman" w:hAnsi="Times New Roman" w:cs="Times New Roman"/>
          <w:bCs/>
          <w:sz w:val="21"/>
          <w:szCs w:val="21"/>
        </w:rPr>
        <w:t xml:space="preserve">1500 Oe. </w:t>
      </w:r>
      <w:r>
        <w:rPr>
          <w:rFonts w:ascii="Times New Roman" w:hAnsi="Times New Roman" w:cs="Times New Roman"/>
          <w:bCs/>
          <w:sz w:val="21"/>
          <w:szCs w:val="21"/>
        </w:rPr>
        <w:t xml:space="preserve">More than ca. 200 % enhancement in exciton lifetimes is recorded along with the outstanding POWS performance over this magnetic composite. </w:t>
      </w:r>
      <w:r>
        <w:rPr>
          <w:rFonts w:ascii="Times New Roman" w:hAnsi="Times New Roman" w:cs="Times New Roman"/>
          <w:bCs/>
          <w:sz w:val="21"/>
          <w:szCs w:val="21"/>
        </w:rPr>
        <w:t xml:space="preserve">Unprecedented STH of 12.2% </w:t>
      </w:r>
      <w:r>
        <w:rPr>
          <w:rFonts w:ascii="Times New Roman" w:hAnsi="Times New Roman" w:cs="Times New Roman"/>
          <w:bCs/>
          <w:sz w:val="21"/>
          <w:szCs w:val="21"/>
        </w:rPr>
        <w:t xml:space="preserve">can be </w:t>
      </w:r>
      <w:r>
        <w:rPr>
          <w:rFonts w:ascii="Times New Roman" w:hAnsi="Times New Roman" w:cs="Times New Roman"/>
          <w:bCs/>
          <w:sz w:val="21"/>
          <w:szCs w:val="21"/>
        </w:rPr>
        <w:t xml:space="preserve">achieved, which surpasses all the reported STH of particulate POWS systems, leading the POWS system closer to the practical application</w:t>
      </w:r>
      <w:r>
        <w:rPr>
          <w:rFonts w:ascii="Times New Roman" w:hAnsi="Times New Roman" w:cs="Times New Roman"/>
          <w:bCs/>
          <w:sz w:val="21"/>
          <w:szCs w:val="21"/>
        </w:rPr>
        <w:t xml:space="preserve">s</w:t>
      </w:r>
      <w:r>
        <w:rPr>
          <w:rFonts w:ascii="Times New Roman" w:hAnsi="Times New Roman" w:cs="Times New Roman"/>
          <w:bCs/>
          <w:sz w:val="21"/>
          <w:szCs w:val="21"/>
        </w:rPr>
        <w:t xml:space="preserve">. This STH efficiency is even comparable with the PV-E and PEC systems (</w:t>
      </w:r>
      <w:r>
        <w:rPr>
          <w:rFonts w:ascii="Times New Roman" w:hAnsi="Times New Roman" w:cs="Times New Roman"/>
          <w:bCs/>
          <w:color w:val="FF0000"/>
          <w:sz w:val="21"/>
          <w:szCs w:val="21"/>
        </w:rPr>
        <w:t xml:space="preserve">Supplementary Table </w:t>
      </w:r>
      <w:r>
        <w:rPr>
          <w:rFonts w:ascii="Times New Roman" w:hAnsi="Times New Roman" w:cs="Times New Roman"/>
          <w:bCs/>
          <w:color w:val="FF0000"/>
          <w:sz w:val="21"/>
          <w:szCs w:val="21"/>
        </w:rPr>
        <w:t xml:space="preserve">5</w:t>
      </w:r>
      <w:r>
        <w:rPr>
          <w:rFonts w:ascii="Times New Roman" w:hAnsi="Times New Roman" w:cs="Times New Roman"/>
          <w:bCs/>
          <w:sz w:val="21"/>
          <w:szCs w:val="21"/>
        </w:rPr>
        <w:t xml:space="preserve">), while this particulate POWS system has the advantage of simple set-up and anticipated low capital costs. Further optimi</w:t>
      </w:r>
      <w:r>
        <w:rPr>
          <w:rFonts w:ascii="Times New Roman" w:hAnsi="Times New Roman" w:cs="Times New Roman"/>
          <w:bCs/>
          <w:sz w:val="21"/>
          <w:szCs w:val="21"/>
        </w:rPr>
        <w:t xml:space="preserve">s</w:t>
      </w:r>
      <w:r>
        <w:rPr>
          <w:rFonts w:ascii="Times New Roman" w:hAnsi="Times New Roman" w:cs="Times New Roman"/>
          <w:bCs/>
          <w:sz w:val="21"/>
          <w:szCs w:val="21"/>
        </w:rPr>
        <w:t xml:space="preserve">ation could be made by placing a selected photocatalyst in nano-engineered support capsules in close proxi</w:t>
      </w:r>
      <w:r>
        <w:rPr>
          <w:rFonts w:ascii="Times New Roman" w:hAnsi="Times New Roman" w:cs="Times New Roman"/>
          <w:bCs/>
          <w:sz w:val="21"/>
          <w:szCs w:val="21"/>
        </w:rPr>
        <w:t xml:space="preserve">mity using stronger superparamagnetic Fe alloys nanomaterials. It is believed that the magnetic field effects discussed in this work can be potentially adopted to other photocatalytic systems and further contribute to the rational design of photocatalysts.</w:t>
      </w:r>
      <w:r/>
    </w:p>
    <w:p>
      <w:pPr>
        <w:jc w:val="both"/>
        <w:spacing w:lineRule="exact" w:line="400" w:after="156"/>
        <w:rPr>
          <w:rFonts w:ascii="Times New Roman" w:hAnsi="Times New Roman" w:cs="Times New Roman"/>
          <w:b/>
          <w:bCs/>
          <w:sz w:val="21"/>
          <w:szCs w:val="21"/>
        </w:rPr>
      </w:pPr>
      <w:r>
        <w:rPr>
          <w:rFonts w:ascii="Times New Roman" w:hAnsi="Times New Roman" w:cs="Times New Roman"/>
          <w:b/>
          <w:bCs/>
          <w:sz w:val="21"/>
          <w:szCs w:val="21"/>
        </w:rPr>
      </w:r>
      <w:r/>
    </w:p>
    <w:p>
      <w:pPr>
        <w:spacing w:lineRule="exact" w:line="400" w:after="50"/>
        <w:rPr>
          <w:rFonts w:ascii="Times New Roman" w:hAnsi="Times New Roman" w:cs="Times New Roman"/>
          <w:b/>
          <w:sz w:val="21"/>
          <w:szCs w:val="21"/>
        </w:rPr>
      </w:pPr>
      <w:r>
        <w:rPr>
          <w:rFonts w:ascii="Times New Roman" w:hAnsi="Times New Roman" w:cs="Times New Roman"/>
          <w:b/>
          <w:sz w:val="21"/>
          <w:szCs w:val="21"/>
        </w:rPr>
        <w:t xml:space="preserve">Data availability</w:t>
      </w:r>
      <w:r/>
    </w:p>
    <w:p>
      <w:pPr>
        <w:jc w:val="both"/>
        <w:spacing w:lineRule="exact" w:line="400" w:after="50"/>
        <w:rPr>
          <w:rFonts w:ascii="Times New Roman" w:hAnsi="Times New Roman" w:cs="Times New Roman"/>
          <w:sz w:val="21"/>
          <w:szCs w:val="21"/>
        </w:rPr>
      </w:pPr>
      <w:r>
        <w:rPr>
          <w:rFonts w:ascii="Times New Roman" w:hAnsi="Times New Roman" w:cs="Times New Roman"/>
          <w:sz w:val="21"/>
          <w:szCs w:val="21"/>
        </w:rPr>
        <w:t xml:space="preserve">The source data are all</w:t>
      </w:r>
      <w:r>
        <w:rPr>
          <w:rFonts w:ascii="Times New Roman" w:hAnsi="Times New Roman" w:cs="Times New Roman"/>
          <w:sz w:val="21"/>
          <w:szCs w:val="21"/>
        </w:rPr>
        <w:t xml:space="preserve"> shown in </w:t>
      </w:r>
      <w:r>
        <w:rPr>
          <w:rFonts w:ascii="Times New Roman" w:hAnsi="Times New Roman" w:cs="Times New Roman"/>
          <w:color w:val="FF0000"/>
          <w:sz w:val="21"/>
          <w:szCs w:val="21"/>
        </w:rPr>
        <w:t xml:space="preserve">Supplementary Figs. 1-</w:t>
      </w:r>
      <w:r>
        <w:rPr>
          <w:rFonts w:ascii="Times New Roman" w:hAnsi="Times New Roman" w:cs="Times New Roman"/>
          <w:color w:val="FF0000"/>
          <w:sz w:val="21"/>
          <w:szCs w:val="21"/>
        </w:rPr>
        <w:t xml:space="preserve">1</w:t>
      </w:r>
      <w:r>
        <w:rPr>
          <w:rFonts w:ascii="Times New Roman" w:hAnsi="Times New Roman" w:cs="Times New Roman"/>
          <w:color w:val="FF0000"/>
          <w:sz w:val="21"/>
          <w:szCs w:val="21"/>
        </w:rPr>
        <w:t xml:space="preserve">3</w:t>
      </w:r>
      <w:r>
        <w:rPr>
          <w:rFonts w:ascii="Times New Roman" w:hAnsi="Times New Roman" w:cs="Times New Roman"/>
          <w:sz w:val="21"/>
          <w:szCs w:val="21"/>
        </w:rPr>
        <w:t xml:space="preserve">, </w:t>
      </w:r>
      <w:r>
        <w:rPr>
          <w:rFonts w:ascii="Times New Roman" w:hAnsi="Times New Roman" w:cs="Times New Roman"/>
          <w:color w:val="FF0000"/>
          <w:sz w:val="21"/>
          <w:szCs w:val="21"/>
        </w:rPr>
        <w:t xml:space="preserve">Supplementary Tables 1-</w:t>
      </w:r>
      <w:r>
        <w:rPr>
          <w:rFonts w:ascii="Times New Roman" w:hAnsi="Times New Roman" w:cs="Times New Roman"/>
          <w:color w:val="FF0000"/>
          <w:sz w:val="21"/>
          <w:szCs w:val="21"/>
        </w:rPr>
        <w:t xml:space="preserve">5 </w:t>
      </w:r>
      <w:r>
        <w:rPr>
          <w:rFonts w:ascii="Times New Roman" w:hAnsi="Times New Roman" w:cs="Times New Roman"/>
          <w:sz w:val="21"/>
          <w:szCs w:val="21"/>
        </w:rPr>
        <w:t xml:space="preserve">and</w:t>
      </w:r>
      <w:r>
        <w:rPr>
          <w:rFonts w:ascii="Times New Roman" w:hAnsi="Times New Roman" w:cs="Times New Roman"/>
          <w:color w:val="FF0000"/>
          <w:sz w:val="21"/>
          <w:szCs w:val="21"/>
        </w:rPr>
        <w:t xml:space="preserve"> Supplementary Notes 1-</w:t>
      </w:r>
      <w:r>
        <w:rPr>
          <w:rFonts w:ascii="Times New Roman" w:hAnsi="Times New Roman" w:cs="Times New Roman"/>
          <w:color w:val="FF0000"/>
          <w:sz w:val="21"/>
          <w:szCs w:val="21"/>
        </w:rPr>
        <w:t xml:space="preserve">4</w:t>
      </w:r>
      <w:r>
        <w:rPr>
          <w:rFonts w:ascii="Times New Roman" w:hAnsi="Times New Roman" w:cs="Times New Roman"/>
          <w:sz w:val="21"/>
          <w:szCs w:val="21"/>
        </w:rPr>
        <w:t xml:space="preserve">. All relevant data are available from the authors.</w:t>
      </w:r>
      <w:r/>
    </w:p>
    <w:p>
      <w:pPr>
        <w:jc w:val="both"/>
        <w:spacing w:lineRule="exact" w:line="400" w:after="156"/>
        <w:rPr>
          <w:rFonts w:ascii="Times New Roman" w:hAnsi="Times New Roman" w:cs="Times New Roman"/>
          <w:b/>
          <w:bCs/>
          <w:sz w:val="21"/>
          <w:szCs w:val="21"/>
        </w:rPr>
      </w:pPr>
      <w:r>
        <w:rPr>
          <w:rFonts w:ascii="Times New Roman" w:hAnsi="Times New Roman" w:cs="Times New Roman"/>
          <w:b/>
          <w:bCs/>
          <w:sz w:val="21"/>
          <w:szCs w:val="21"/>
        </w:rPr>
      </w:r>
      <w:r/>
    </w:p>
    <w:p>
      <w:pPr>
        <w:spacing w:lineRule="exact" w:line="400" w:after="50"/>
        <w:rPr>
          <w:rFonts w:ascii="Times New Roman" w:hAnsi="Times New Roman" w:cs="Times New Roman"/>
          <w:b/>
          <w:bCs/>
          <w:sz w:val="21"/>
          <w:szCs w:val="21"/>
        </w:rPr>
      </w:pPr>
      <w:r>
        <w:rPr>
          <w:rFonts w:ascii="Times New Roman" w:hAnsi="Times New Roman" w:cs="Times New Roman" w:hint="eastAsia"/>
          <w:b/>
          <w:bCs/>
          <w:sz w:val="21"/>
          <w:szCs w:val="21"/>
        </w:rPr>
        <w:t xml:space="preserve">R</w:t>
      </w:r>
      <w:r>
        <w:rPr>
          <w:rFonts w:ascii="Times New Roman" w:hAnsi="Times New Roman" w:cs="Times New Roman"/>
          <w:b/>
          <w:bCs/>
          <w:sz w:val="21"/>
          <w:szCs w:val="21"/>
        </w:rPr>
        <w:t xml:space="preserve">eferences</w:t>
      </w:r>
      <w:r/>
    </w:p>
    <w:p>
      <w:pPr>
        <w:ind w:left="640" w:hanging="640"/>
        <w:jc w:val="both"/>
        <w:spacing w:lineRule="exact" w:line="240" w:after="160"/>
        <w:rPr>
          <w:rFonts w:ascii="Times New Roman" w:hAnsi="Times New Roman" w:cs="Times New Roman"/>
          <w:sz w:val="20"/>
          <w:szCs w:val="24"/>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ADDIN Mendeley Bibliography CSL_BIBLIOGRAPHY </w:instrText>
      </w:r>
      <w:r>
        <w:rPr>
          <w:rFonts w:ascii="Times New Roman" w:hAnsi="Times New Roman" w:cs="Times New Roman"/>
          <w:sz w:val="21"/>
          <w:szCs w:val="21"/>
        </w:rPr>
        <w:fldChar w:fldCharType="separate"/>
      </w:r>
      <w:r>
        <w:rPr>
          <w:rFonts w:ascii="Times New Roman" w:hAnsi="Times New Roman" w:cs="Times New Roman"/>
          <w:sz w:val="20"/>
          <w:szCs w:val="24"/>
        </w:rPr>
        <w:t xml:space="preserve">1.</w:t>
      </w:r>
      <w:r>
        <w:rPr>
          <w:rFonts w:ascii="Times New Roman" w:hAnsi="Times New Roman" w:cs="Times New Roman"/>
          <w:sz w:val="20"/>
          <w:szCs w:val="24"/>
        </w:rPr>
        <w:tab/>
        <w:t xml:space="preserve">Zhou, G. </w:t>
      </w:r>
      <w:r>
        <w:rPr>
          <w:rFonts w:ascii="Times New Roman" w:hAnsi="Times New Roman" w:cs="Times New Roman"/>
          <w:i/>
          <w:iCs/>
          <w:sz w:val="20"/>
          <w:szCs w:val="24"/>
        </w:rPr>
        <w:t xml:space="preserve">et al.</w:t>
      </w:r>
      <w:r>
        <w:rPr>
          <w:rFonts w:ascii="Times New Roman" w:hAnsi="Times New Roman" w:cs="Times New Roman"/>
          <w:sz w:val="20"/>
          <w:szCs w:val="24"/>
        </w:rPr>
        <w:t xml:space="preserve"> Photoinduced semiconductor-metal transition in ultrathin troilite FeS nanosheets to trigger efficient hydrogen evolution. </w:t>
      </w:r>
      <w:r>
        <w:rPr>
          <w:rFonts w:ascii="Times New Roman" w:hAnsi="Times New Roman" w:cs="Times New Roman"/>
          <w:i/>
          <w:iCs/>
          <w:sz w:val="20"/>
          <w:szCs w:val="24"/>
        </w:rPr>
        <w:t xml:space="preserve">Nat. Commun.</w:t>
      </w:r>
      <w:r>
        <w:rPr>
          <w:rFonts w:ascii="Times New Roman" w:hAnsi="Times New Roman" w:cs="Times New Roman"/>
          <w:sz w:val="20"/>
          <w:szCs w:val="24"/>
        </w:rPr>
        <w:t xml:space="preserve"> </w:t>
      </w:r>
      <w:r>
        <w:rPr>
          <w:rFonts w:ascii="Times New Roman" w:hAnsi="Times New Roman" w:cs="Times New Roman"/>
          <w:b/>
          <w:bCs/>
          <w:sz w:val="20"/>
          <w:szCs w:val="24"/>
        </w:rPr>
        <w:t xml:space="preserve">10</w:t>
      </w:r>
      <w:r>
        <w:rPr>
          <w:rFonts w:ascii="Times New Roman" w:hAnsi="Times New Roman" w:cs="Times New Roman"/>
          <w:sz w:val="20"/>
          <w:szCs w:val="24"/>
        </w:rPr>
        <w:t xml:space="preserve">, 399 (2019).</w:t>
      </w:r>
      <w:r/>
    </w:p>
    <w:p>
      <w:pPr>
        <w:ind w:left="640" w:hanging="640"/>
        <w:jc w:val="both"/>
        <w:spacing w:lineRule="exact" w:line="240" w:after="160"/>
        <w:rPr>
          <w:rFonts w:ascii="Times New Roman" w:hAnsi="Times New Roman" w:cs="Times New Roman"/>
          <w:sz w:val="20"/>
          <w:szCs w:val="24"/>
        </w:rPr>
      </w:pPr>
      <w:r>
        <w:rPr>
          <w:rFonts w:ascii="Times New Roman" w:hAnsi="Times New Roman" w:cs="Times New Roman"/>
          <w:sz w:val="20"/>
          <w:szCs w:val="24"/>
        </w:rPr>
        <w:t xml:space="preserve">2.</w:t>
      </w:r>
      <w:r>
        <w:rPr>
          <w:rFonts w:ascii="Times New Roman" w:hAnsi="Times New Roman" w:cs="Times New Roman"/>
          <w:sz w:val="20"/>
          <w:szCs w:val="24"/>
        </w:rPr>
        <w:tab/>
        <w:t xml:space="preserve">Chen, X., Shen, S., Guo, L. &amp; Mao, S. S. Semiconductor-based photocatalytic hydrogen generation. </w:t>
      </w:r>
      <w:r>
        <w:rPr>
          <w:rFonts w:ascii="Times New Roman" w:hAnsi="Times New Roman" w:cs="Times New Roman"/>
          <w:i/>
          <w:iCs/>
          <w:sz w:val="20"/>
          <w:szCs w:val="24"/>
        </w:rPr>
        <w:t xml:space="preserve">Chem. Rev.</w:t>
      </w:r>
      <w:r>
        <w:rPr>
          <w:rFonts w:ascii="Times New Roman" w:hAnsi="Times New Roman" w:cs="Times New Roman"/>
          <w:sz w:val="20"/>
          <w:szCs w:val="24"/>
        </w:rPr>
        <w:t xml:space="preserve"> </w:t>
      </w:r>
      <w:r>
        <w:rPr>
          <w:rFonts w:ascii="Times New Roman" w:hAnsi="Times New Roman" w:cs="Times New Roman"/>
          <w:b/>
          <w:bCs/>
          <w:sz w:val="20"/>
          <w:szCs w:val="24"/>
        </w:rPr>
        <w:t xml:space="preserve">110</w:t>
      </w:r>
      <w:r>
        <w:rPr>
          <w:rFonts w:ascii="Times New Roman" w:hAnsi="Times New Roman" w:cs="Times New Roman"/>
          <w:sz w:val="20"/>
          <w:szCs w:val="24"/>
        </w:rPr>
        <w:t xml:space="preserve">, 6503–6570 (2010).</w:t>
      </w:r>
      <w:r/>
    </w:p>
    <w:p>
      <w:pPr>
        <w:ind w:left="640" w:hanging="640"/>
        <w:jc w:val="both"/>
        <w:spacing w:lineRule="exact" w:line="240" w:after="160"/>
        <w:rPr>
          <w:rFonts w:ascii="Times New Roman" w:hAnsi="Times New Roman" w:cs="Times New Roman"/>
          <w:sz w:val="20"/>
          <w:szCs w:val="24"/>
        </w:rPr>
      </w:pPr>
      <w:r>
        <w:rPr>
          <w:rFonts w:ascii="Times New Roman" w:hAnsi="Times New Roman" w:cs="Times New Roman"/>
          <w:sz w:val="20"/>
          <w:szCs w:val="24"/>
        </w:rPr>
        <w:t xml:space="preserve">3.</w:t>
      </w:r>
      <w:r>
        <w:rPr>
          <w:rFonts w:ascii="Times New Roman" w:hAnsi="Times New Roman" w:cs="Times New Roman"/>
          <w:sz w:val="20"/>
          <w:szCs w:val="24"/>
        </w:rPr>
        <w:tab/>
        <w:t xml:space="preserve">Li, Q. </w:t>
      </w:r>
      <w:r>
        <w:rPr>
          <w:rFonts w:ascii="Times New Roman" w:hAnsi="Times New Roman" w:cs="Times New Roman"/>
          <w:i/>
          <w:iCs/>
          <w:sz w:val="20"/>
          <w:szCs w:val="24"/>
        </w:rPr>
        <w:t xml:space="preserve">et al.</w:t>
      </w:r>
      <w:r>
        <w:rPr>
          <w:rFonts w:ascii="Times New Roman" w:hAnsi="Times New Roman" w:cs="Times New Roman"/>
          <w:sz w:val="20"/>
          <w:szCs w:val="24"/>
        </w:rPr>
        <w:t xml:space="preserve"> Highly efficient visible-light-driven photocatalytic hydrogen production of CdS-cluster-decorated graphene nanosheets. </w:t>
      </w:r>
      <w:r>
        <w:rPr>
          <w:rFonts w:ascii="Times New Roman" w:hAnsi="Times New Roman" w:cs="Times New Roman"/>
          <w:i/>
          <w:iCs/>
          <w:sz w:val="20"/>
          <w:szCs w:val="24"/>
        </w:rPr>
        <w:t xml:space="preserve">J. Am. Chem. Soc.</w:t>
      </w:r>
      <w:r>
        <w:rPr>
          <w:rFonts w:ascii="Times New Roman" w:hAnsi="Times New Roman" w:cs="Times New Roman"/>
          <w:sz w:val="20"/>
          <w:szCs w:val="24"/>
        </w:rPr>
        <w:t xml:space="preserve"> </w:t>
      </w:r>
      <w:r>
        <w:rPr>
          <w:rFonts w:ascii="Times New Roman" w:hAnsi="Times New Roman" w:cs="Times New Roman"/>
          <w:b/>
          <w:bCs/>
          <w:sz w:val="20"/>
          <w:szCs w:val="24"/>
        </w:rPr>
        <w:t xml:space="preserve">133</w:t>
      </w:r>
      <w:r>
        <w:rPr>
          <w:rFonts w:ascii="Times New Roman" w:hAnsi="Times New Roman" w:cs="Times New Roman"/>
          <w:sz w:val="20"/>
          <w:szCs w:val="24"/>
        </w:rPr>
        <w:t xml:space="preserve">, 10878–10884 (2011).</w:t>
      </w:r>
      <w:r/>
    </w:p>
    <w:p>
      <w:pPr>
        <w:ind w:left="640" w:hanging="640"/>
        <w:jc w:val="both"/>
        <w:spacing w:lineRule="exact" w:line="240" w:after="160"/>
        <w:rPr>
          <w:rFonts w:ascii="Times New Roman" w:hAnsi="Times New Roman" w:cs="Times New Roman"/>
          <w:sz w:val="20"/>
          <w:szCs w:val="24"/>
        </w:rPr>
      </w:pPr>
      <w:r>
        <w:rPr>
          <w:rFonts w:ascii="Times New Roman" w:hAnsi="Times New Roman" w:cs="Times New Roman"/>
          <w:sz w:val="20"/>
          <w:szCs w:val="24"/>
        </w:rPr>
        <w:t xml:space="preserve">4.</w:t>
      </w:r>
      <w:r>
        <w:rPr>
          <w:rFonts w:ascii="Times New Roman" w:hAnsi="Times New Roman" w:cs="Times New Roman"/>
          <w:sz w:val="20"/>
          <w:szCs w:val="24"/>
        </w:rPr>
        <w:tab/>
        <w:t xml:space="preserve">Hisatomi, T. &amp; Domen, K. Reaction systems for solar hydrogen production via water splitting with particulate semiconductor photocatalysts. </w:t>
      </w:r>
      <w:r>
        <w:rPr>
          <w:rFonts w:ascii="Times New Roman" w:hAnsi="Times New Roman" w:cs="Times New Roman"/>
          <w:i/>
          <w:iCs/>
          <w:sz w:val="20"/>
          <w:szCs w:val="24"/>
        </w:rPr>
        <w:t xml:space="preserve">Nat. Catal.</w:t>
      </w:r>
      <w:r>
        <w:rPr>
          <w:rFonts w:ascii="Times New Roman" w:hAnsi="Times New Roman" w:cs="Times New Roman"/>
          <w:sz w:val="20"/>
          <w:szCs w:val="24"/>
        </w:rPr>
        <w:t xml:space="preserve"> </w:t>
      </w:r>
      <w:r>
        <w:rPr>
          <w:rFonts w:ascii="Times New Roman" w:hAnsi="Times New Roman" w:cs="Times New Roman"/>
          <w:b/>
          <w:bCs/>
          <w:sz w:val="20"/>
          <w:szCs w:val="24"/>
        </w:rPr>
        <w:t xml:space="preserve">2</w:t>
      </w:r>
      <w:r>
        <w:rPr>
          <w:rFonts w:ascii="Times New Roman" w:hAnsi="Times New Roman" w:cs="Times New Roman"/>
          <w:sz w:val="20"/>
          <w:szCs w:val="24"/>
        </w:rPr>
        <w:t xml:space="preserve">, 387–399 (2019).</w:t>
      </w:r>
      <w:r/>
    </w:p>
    <w:p>
      <w:pPr>
        <w:ind w:left="640" w:hanging="640"/>
        <w:jc w:val="both"/>
        <w:spacing w:lineRule="exact" w:line="240" w:after="160"/>
        <w:rPr>
          <w:rFonts w:ascii="Times New Roman" w:hAnsi="Times New Roman" w:cs="Times New Roman"/>
          <w:sz w:val="20"/>
          <w:szCs w:val="24"/>
        </w:rPr>
      </w:pPr>
      <w:r>
        <w:rPr>
          <w:rFonts w:ascii="Times New Roman" w:hAnsi="Times New Roman" w:cs="Times New Roman"/>
          <w:sz w:val="20"/>
          <w:szCs w:val="24"/>
        </w:rPr>
        <w:t xml:space="preserve">5.</w:t>
      </w:r>
      <w:r>
        <w:rPr>
          <w:rFonts w:ascii="Times New Roman" w:hAnsi="Times New Roman" w:cs="Times New Roman"/>
          <w:sz w:val="20"/>
          <w:szCs w:val="24"/>
        </w:rPr>
        <w:tab/>
        <w:t xml:space="preserve">Keene, S., Bala Chandran, R. &amp; Ardo, S. Calculations of theoretical efficiencies for electrochemically-mediated tandem solar water splitting as a function of bandgap energies and redox shuttle potential. </w:t>
      </w:r>
      <w:r>
        <w:rPr>
          <w:rFonts w:ascii="Times New Roman" w:hAnsi="Times New Roman" w:cs="Times New Roman"/>
          <w:i/>
          <w:iCs/>
          <w:sz w:val="20"/>
          <w:szCs w:val="24"/>
        </w:rPr>
        <w:t xml:space="preserve">Energy Environ. Sci.</w:t>
      </w:r>
      <w:r>
        <w:rPr>
          <w:rFonts w:ascii="Times New Roman" w:hAnsi="Times New Roman" w:cs="Times New Roman"/>
          <w:sz w:val="20"/>
          <w:szCs w:val="24"/>
        </w:rPr>
        <w:t xml:space="preserve"> </w:t>
      </w:r>
      <w:r>
        <w:rPr>
          <w:rFonts w:ascii="Times New Roman" w:hAnsi="Times New Roman" w:cs="Times New Roman"/>
          <w:b/>
          <w:bCs/>
          <w:sz w:val="20"/>
          <w:szCs w:val="24"/>
        </w:rPr>
        <w:t xml:space="preserve">12</w:t>
      </w:r>
      <w:r>
        <w:rPr>
          <w:rFonts w:ascii="Times New Roman" w:hAnsi="Times New Roman" w:cs="Times New Roman"/>
          <w:sz w:val="20"/>
          <w:szCs w:val="24"/>
        </w:rPr>
        <w:t xml:space="preserve">, 261–272 (2019).</w:t>
      </w:r>
      <w:r/>
    </w:p>
    <w:p>
      <w:pPr>
        <w:ind w:left="640" w:hanging="640"/>
        <w:jc w:val="both"/>
        <w:spacing w:lineRule="exact" w:line="240" w:after="160"/>
        <w:rPr>
          <w:rFonts w:ascii="Times New Roman" w:hAnsi="Times New Roman" w:cs="Times New Roman"/>
          <w:sz w:val="20"/>
          <w:szCs w:val="24"/>
        </w:rPr>
      </w:pPr>
      <w:r>
        <w:rPr>
          <w:rFonts w:ascii="Times New Roman" w:hAnsi="Times New Roman" w:cs="Times New Roman"/>
          <w:sz w:val="20"/>
          <w:szCs w:val="24"/>
        </w:rPr>
        <w:t xml:space="preserve">6.</w:t>
      </w:r>
      <w:r>
        <w:rPr>
          <w:rFonts w:ascii="Times New Roman" w:hAnsi="Times New Roman" w:cs="Times New Roman"/>
          <w:sz w:val="20"/>
          <w:szCs w:val="24"/>
        </w:rPr>
        <w:tab/>
        <w:t xml:space="preserve">Wang, S., Liu, G. &amp; Wang, L. Crystal Facet Engineering of Photoelectrodes for Photoelectrochemical Water Splitting. </w:t>
      </w:r>
      <w:r>
        <w:rPr>
          <w:rFonts w:ascii="Times New Roman" w:hAnsi="Times New Roman" w:cs="Times New Roman"/>
          <w:i/>
          <w:iCs/>
          <w:sz w:val="20"/>
          <w:szCs w:val="24"/>
        </w:rPr>
        <w:t xml:space="preserve">Chem. Rev.</w:t>
      </w:r>
      <w:r>
        <w:rPr>
          <w:rFonts w:ascii="Times New Roman" w:hAnsi="Times New Roman" w:cs="Times New Roman"/>
          <w:sz w:val="20"/>
          <w:szCs w:val="24"/>
        </w:rPr>
        <w:t xml:space="preserve"> </w:t>
      </w:r>
      <w:r>
        <w:rPr>
          <w:rFonts w:ascii="Times New Roman" w:hAnsi="Times New Roman" w:cs="Times New Roman"/>
          <w:b/>
          <w:bCs/>
          <w:sz w:val="20"/>
          <w:szCs w:val="24"/>
        </w:rPr>
        <w:t xml:space="preserve">119</w:t>
      </w:r>
      <w:r>
        <w:rPr>
          <w:rFonts w:ascii="Times New Roman" w:hAnsi="Times New Roman" w:cs="Times New Roman"/>
          <w:sz w:val="20"/>
          <w:szCs w:val="24"/>
        </w:rPr>
        <w:t xml:space="preserve">, 5192–5247 (2019).</w:t>
      </w:r>
      <w:r/>
    </w:p>
    <w:p>
      <w:pPr>
        <w:ind w:left="640" w:hanging="640"/>
        <w:jc w:val="both"/>
        <w:spacing w:lineRule="exact" w:line="240" w:after="160"/>
        <w:rPr>
          <w:rFonts w:ascii="Times New Roman" w:hAnsi="Times New Roman" w:cs="Times New Roman"/>
          <w:sz w:val="20"/>
          <w:szCs w:val="24"/>
        </w:rPr>
      </w:pPr>
      <w:r>
        <w:rPr>
          <w:rFonts w:ascii="Times New Roman" w:hAnsi="Times New Roman" w:cs="Times New Roman"/>
          <w:sz w:val="20"/>
          <w:szCs w:val="24"/>
        </w:rPr>
        <w:t xml:space="preserve">7.</w:t>
      </w:r>
      <w:r>
        <w:rPr>
          <w:rFonts w:ascii="Times New Roman" w:hAnsi="Times New Roman" w:cs="Times New Roman"/>
          <w:sz w:val="20"/>
          <w:szCs w:val="24"/>
        </w:rPr>
        <w:tab/>
        <w:t xml:space="preserve">Wang, Q. </w:t>
      </w:r>
      <w:r>
        <w:rPr>
          <w:rFonts w:ascii="Times New Roman" w:hAnsi="Times New Roman" w:cs="Times New Roman"/>
          <w:i/>
          <w:iCs/>
          <w:sz w:val="20"/>
          <w:szCs w:val="24"/>
        </w:rPr>
        <w:t xml:space="preserve">et al.</w:t>
      </w:r>
      <w:r>
        <w:rPr>
          <w:rFonts w:ascii="Times New Roman" w:hAnsi="Times New Roman" w:cs="Times New Roman"/>
          <w:sz w:val="20"/>
          <w:szCs w:val="24"/>
        </w:rPr>
        <w:t xml:space="preserve"> Scalable water splitting on particulate photocatalyst sheets with a solar-to-hydrogen energy conversion efficiency exceeding 1%. </w:t>
      </w:r>
      <w:r>
        <w:rPr>
          <w:rFonts w:ascii="Times New Roman" w:hAnsi="Times New Roman" w:cs="Times New Roman"/>
          <w:i/>
          <w:iCs/>
          <w:sz w:val="20"/>
          <w:szCs w:val="24"/>
        </w:rPr>
        <w:t xml:space="preserve">Nat. Mater.</w:t>
      </w:r>
      <w:r>
        <w:rPr>
          <w:rFonts w:ascii="Times New Roman" w:hAnsi="Times New Roman" w:cs="Times New Roman"/>
          <w:sz w:val="20"/>
          <w:szCs w:val="24"/>
        </w:rPr>
        <w:t xml:space="preserve"> </w:t>
      </w:r>
      <w:r>
        <w:rPr>
          <w:rFonts w:ascii="Times New Roman" w:hAnsi="Times New Roman" w:cs="Times New Roman"/>
          <w:b/>
          <w:bCs/>
          <w:sz w:val="20"/>
          <w:szCs w:val="24"/>
        </w:rPr>
        <w:t xml:space="preserve">15</w:t>
      </w:r>
      <w:r>
        <w:rPr>
          <w:rFonts w:ascii="Times New Roman" w:hAnsi="Times New Roman" w:cs="Times New Roman"/>
          <w:sz w:val="20"/>
          <w:szCs w:val="24"/>
        </w:rPr>
        <w:t xml:space="preserve">, 611–615 (2016).</w:t>
      </w:r>
      <w:r/>
    </w:p>
    <w:p>
      <w:pPr>
        <w:ind w:left="640" w:hanging="640"/>
        <w:jc w:val="both"/>
        <w:spacing w:lineRule="exact" w:line="240" w:after="160"/>
        <w:rPr>
          <w:rFonts w:ascii="Times New Roman" w:hAnsi="Times New Roman" w:cs="Times New Roman"/>
          <w:sz w:val="20"/>
          <w:szCs w:val="24"/>
        </w:rPr>
      </w:pPr>
      <w:r>
        <w:rPr>
          <w:rFonts w:ascii="Times New Roman" w:hAnsi="Times New Roman" w:cs="Times New Roman"/>
          <w:sz w:val="20"/>
          <w:szCs w:val="24"/>
        </w:rPr>
        <w:t xml:space="preserve">8.</w:t>
      </w:r>
      <w:r>
        <w:rPr>
          <w:rFonts w:ascii="Times New Roman" w:hAnsi="Times New Roman" w:cs="Times New Roman"/>
          <w:sz w:val="20"/>
          <w:szCs w:val="24"/>
        </w:rPr>
        <w:tab/>
        <w:t xml:space="preserve">Liao, L. </w:t>
      </w:r>
      <w:r>
        <w:rPr>
          <w:rFonts w:ascii="Times New Roman" w:hAnsi="Times New Roman" w:cs="Times New Roman"/>
          <w:i/>
          <w:iCs/>
          <w:sz w:val="20"/>
          <w:szCs w:val="24"/>
        </w:rPr>
        <w:t xml:space="preserve">et al.</w:t>
      </w:r>
      <w:r>
        <w:rPr>
          <w:rFonts w:ascii="Times New Roman" w:hAnsi="Times New Roman" w:cs="Times New Roman"/>
          <w:sz w:val="20"/>
          <w:szCs w:val="24"/>
        </w:rPr>
        <w:t xml:space="preserve"> Efficient solar water-splitting using a nanocrystalline CoO photocatalyst. </w:t>
      </w:r>
      <w:r>
        <w:rPr>
          <w:rFonts w:ascii="Times New Roman" w:hAnsi="Times New Roman" w:cs="Times New Roman"/>
          <w:i/>
          <w:iCs/>
          <w:sz w:val="20"/>
          <w:szCs w:val="24"/>
        </w:rPr>
        <w:t xml:space="preserve">Nat. Nanotechnol.</w:t>
      </w:r>
      <w:r>
        <w:rPr>
          <w:rFonts w:ascii="Times New Roman" w:hAnsi="Times New Roman" w:cs="Times New Roman"/>
          <w:sz w:val="20"/>
          <w:szCs w:val="24"/>
        </w:rPr>
        <w:t xml:space="preserve"> </w:t>
      </w:r>
      <w:r>
        <w:rPr>
          <w:rFonts w:ascii="Times New Roman" w:hAnsi="Times New Roman" w:cs="Times New Roman"/>
          <w:b/>
          <w:bCs/>
          <w:sz w:val="20"/>
          <w:szCs w:val="24"/>
        </w:rPr>
        <w:t xml:space="preserve">9</w:t>
      </w:r>
      <w:r>
        <w:rPr>
          <w:rFonts w:ascii="Times New Roman" w:hAnsi="Times New Roman" w:cs="Times New Roman"/>
          <w:sz w:val="20"/>
          <w:szCs w:val="24"/>
        </w:rPr>
        <w:t xml:space="preserve">, 69–73 (2014).</w:t>
      </w:r>
      <w:r/>
    </w:p>
    <w:p>
      <w:pPr>
        <w:ind w:left="640" w:hanging="640"/>
        <w:jc w:val="both"/>
        <w:spacing w:lineRule="exact" w:line="240" w:after="160"/>
        <w:rPr>
          <w:rFonts w:ascii="Times New Roman" w:hAnsi="Times New Roman" w:cs="Times New Roman"/>
          <w:sz w:val="20"/>
          <w:szCs w:val="24"/>
        </w:rPr>
      </w:pPr>
      <w:r>
        <w:rPr>
          <w:rFonts w:ascii="Times New Roman" w:hAnsi="Times New Roman" w:cs="Times New Roman"/>
          <w:sz w:val="20"/>
          <w:szCs w:val="24"/>
        </w:rPr>
        <w:t xml:space="preserve">9.</w:t>
      </w:r>
      <w:r>
        <w:rPr>
          <w:rFonts w:ascii="Times New Roman" w:hAnsi="Times New Roman" w:cs="Times New Roman"/>
          <w:sz w:val="20"/>
          <w:szCs w:val="24"/>
        </w:rPr>
        <w:tab/>
        <w:t xml:space="preserve">Tian, B. </w:t>
      </w:r>
      <w:r>
        <w:rPr>
          <w:rFonts w:ascii="Times New Roman" w:hAnsi="Times New Roman" w:cs="Times New Roman"/>
          <w:i/>
          <w:iCs/>
          <w:sz w:val="20"/>
          <w:szCs w:val="24"/>
        </w:rPr>
        <w:t xml:space="preserve">et al.</w:t>
      </w:r>
      <w:r>
        <w:rPr>
          <w:rFonts w:ascii="Times New Roman" w:hAnsi="Times New Roman" w:cs="Times New Roman"/>
          <w:sz w:val="20"/>
          <w:szCs w:val="24"/>
        </w:rPr>
        <w:t xml:space="preserve"> Supported black phosphorus nanosheets as hydrogen-evolving photocatalyst achieving 5.4% energy conversion efficiency at 353 K. </w:t>
      </w:r>
      <w:r>
        <w:rPr>
          <w:rFonts w:ascii="Times New Roman" w:hAnsi="Times New Roman" w:cs="Times New Roman"/>
          <w:i/>
          <w:iCs/>
          <w:sz w:val="20"/>
          <w:szCs w:val="24"/>
        </w:rPr>
        <w:t xml:space="preserve">Nat. Commun.</w:t>
      </w:r>
      <w:r>
        <w:rPr>
          <w:rFonts w:ascii="Times New Roman" w:hAnsi="Times New Roman" w:cs="Times New Roman"/>
          <w:sz w:val="20"/>
          <w:szCs w:val="24"/>
        </w:rPr>
        <w:t xml:space="preserve"> </w:t>
      </w:r>
      <w:r>
        <w:rPr>
          <w:rFonts w:ascii="Times New Roman" w:hAnsi="Times New Roman" w:cs="Times New Roman"/>
          <w:b/>
          <w:bCs/>
          <w:sz w:val="20"/>
          <w:szCs w:val="24"/>
        </w:rPr>
        <w:t xml:space="preserve">9</w:t>
      </w:r>
      <w:r>
        <w:rPr>
          <w:rFonts w:ascii="Times New Roman" w:hAnsi="Times New Roman" w:cs="Times New Roman"/>
          <w:sz w:val="20"/>
          <w:szCs w:val="24"/>
        </w:rPr>
        <w:t xml:space="preserve">, 1397 (2018).</w:t>
      </w:r>
      <w:r/>
    </w:p>
    <w:p>
      <w:pPr>
        <w:ind w:left="640" w:hanging="640"/>
        <w:jc w:val="both"/>
        <w:spacing w:lineRule="exact" w:line="240" w:after="160"/>
        <w:rPr>
          <w:rFonts w:ascii="Times New Roman" w:hAnsi="Times New Roman" w:cs="Times New Roman"/>
          <w:sz w:val="20"/>
          <w:szCs w:val="24"/>
        </w:rPr>
      </w:pPr>
      <w:r>
        <w:rPr>
          <w:rFonts w:ascii="Times New Roman" w:hAnsi="Times New Roman" w:cs="Times New Roman"/>
          <w:sz w:val="20"/>
          <w:szCs w:val="24"/>
        </w:rPr>
        <w:t xml:space="preserve">10.</w:t>
      </w:r>
      <w:r>
        <w:rPr>
          <w:rFonts w:ascii="Times New Roman" w:hAnsi="Times New Roman" w:cs="Times New Roman"/>
          <w:sz w:val="20"/>
          <w:szCs w:val="24"/>
        </w:rPr>
        <w:tab/>
        <w:t xml:space="preserve">Wang, Q. &amp; Domen, K. Particulate Photocatalysts for Light-Driven Water Splitting: Mechanisms, Challenges, and Design Strategies. </w:t>
      </w:r>
      <w:r>
        <w:rPr>
          <w:rFonts w:ascii="Times New Roman" w:hAnsi="Times New Roman" w:cs="Times New Roman"/>
          <w:i/>
          <w:iCs/>
          <w:sz w:val="20"/>
          <w:szCs w:val="24"/>
        </w:rPr>
        <w:t xml:space="preserve">Chem. Rev.</w:t>
      </w:r>
      <w:r>
        <w:rPr>
          <w:rFonts w:ascii="Times New Roman" w:hAnsi="Times New Roman" w:cs="Times New Roman"/>
          <w:sz w:val="20"/>
          <w:szCs w:val="24"/>
        </w:rPr>
        <w:t xml:space="preserve"> </w:t>
      </w:r>
      <w:r>
        <w:rPr>
          <w:rFonts w:ascii="Times New Roman" w:hAnsi="Times New Roman" w:cs="Times New Roman"/>
          <w:b/>
          <w:bCs/>
          <w:sz w:val="20"/>
          <w:szCs w:val="24"/>
        </w:rPr>
        <w:t xml:space="preserve">120</w:t>
      </w:r>
      <w:r>
        <w:rPr>
          <w:rFonts w:ascii="Times New Roman" w:hAnsi="Times New Roman" w:cs="Times New Roman"/>
          <w:sz w:val="20"/>
          <w:szCs w:val="24"/>
        </w:rPr>
        <w:t xml:space="preserve">, 919–985 (2020).</w:t>
      </w:r>
      <w:r/>
    </w:p>
    <w:p>
      <w:pPr>
        <w:ind w:left="640" w:hanging="640"/>
        <w:jc w:val="both"/>
        <w:spacing w:lineRule="exact" w:line="240" w:after="160"/>
        <w:rPr>
          <w:rFonts w:ascii="Times New Roman" w:hAnsi="Times New Roman" w:cs="Times New Roman"/>
          <w:sz w:val="20"/>
          <w:szCs w:val="24"/>
        </w:rPr>
      </w:pPr>
      <w:r>
        <w:rPr>
          <w:rFonts w:ascii="Times New Roman" w:hAnsi="Times New Roman" w:cs="Times New Roman"/>
          <w:sz w:val="20"/>
          <w:szCs w:val="24"/>
        </w:rPr>
        <w:t xml:space="preserve">11.</w:t>
      </w:r>
      <w:r>
        <w:rPr>
          <w:rFonts w:ascii="Times New Roman" w:hAnsi="Times New Roman" w:cs="Times New Roman"/>
          <w:sz w:val="20"/>
          <w:szCs w:val="24"/>
        </w:rPr>
        <w:tab/>
        <w:t xml:space="preserve">Li, Y. </w:t>
      </w:r>
      <w:r>
        <w:rPr>
          <w:rFonts w:ascii="Times New Roman" w:hAnsi="Times New Roman" w:cs="Times New Roman"/>
          <w:i/>
          <w:iCs/>
          <w:sz w:val="20"/>
          <w:szCs w:val="24"/>
        </w:rPr>
        <w:t xml:space="preserve">et al.</w:t>
      </w:r>
      <w:r>
        <w:rPr>
          <w:rFonts w:ascii="Times New Roman" w:hAnsi="Times New Roman" w:cs="Times New Roman"/>
          <w:sz w:val="20"/>
          <w:szCs w:val="24"/>
        </w:rPr>
        <w:t xml:space="preserve"> Photocatalytic water splitting by N-TiO2 on MgO (111) with exceptional quantum efficiencies at elevated temperatures. </w:t>
      </w:r>
      <w:r>
        <w:rPr>
          <w:rFonts w:ascii="Times New Roman" w:hAnsi="Times New Roman" w:cs="Times New Roman"/>
          <w:i/>
          <w:iCs/>
          <w:sz w:val="20"/>
          <w:szCs w:val="24"/>
        </w:rPr>
        <w:t xml:space="preserve">Nat. Commun.</w:t>
      </w:r>
      <w:r>
        <w:rPr>
          <w:rFonts w:ascii="Times New Roman" w:hAnsi="Times New Roman" w:cs="Times New Roman"/>
          <w:sz w:val="20"/>
          <w:szCs w:val="24"/>
        </w:rPr>
        <w:t xml:space="preserve"> </w:t>
      </w:r>
      <w:r>
        <w:rPr>
          <w:rFonts w:ascii="Times New Roman" w:hAnsi="Times New Roman" w:cs="Times New Roman"/>
          <w:b/>
          <w:bCs/>
          <w:sz w:val="20"/>
          <w:szCs w:val="24"/>
        </w:rPr>
        <w:t xml:space="preserve">10</w:t>
      </w:r>
      <w:r>
        <w:rPr>
          <w:rFonts w:ascii="Times New Roman" w:hAnsi="Times New Roman" w:cs="Times New Roman"/>
          <w:sz w:val="20"/>
          <w:szCs w:val="24"/>
        </w:rPr>
        <w:t xml:space="preserve">, 4421 (2019).</w:t>
      </w:r>
      <w:r/>
    </w:p>
    <w:p>
      <w:pPr>
        <w:ind w:left="640" w:hanging="640"/>
        <w:jc w:val="both"/>
        <w:spacing w:lineRule="exact" w:line="240" w:after="160"/>
        <w:rPr>
          <w:rFonts w:ascii="Times New Roman" w:hAnsi="Times New Roman" w:cs="Times New Roman"/>
          <w:sz w:val="20"/>
          <w:szCs w:val="24"/>
        </w:rPr>
      </w:pPr>
      <w:r>
        <w:rPr>
          <w:rFonts w:ascii="Times New Roman" w:hAnsi="Times New Roman" w:cs="Times New Roman"/>
          <w:sz w:val="20"/>
          <w:szCs w:val="24"/>
        </w:rPr>
        <w:t xml:space="preserve">12.</w:t>
      </w:r>
      <w:r>
        <w:rPr>
          <w:rFonts w:ascii="Times New Roman" w:hAnsi="Times New Roman" w:cs="Times New Roman"/>
          <w:sz w:val="20"/>
          <w:szCs w:val="24"/>
        </w:rPr>
        <w:tab/>
        <w:t xml:space="preserve">Wolff, C. M. </w:t>
      </w:r>
      <w:r>
        <w:rPr>
          <w:rFonts w:ascii="Times New Roman" w:hAnsi="Times New Roman" w:cs="Times New Roman"/>
          <w:i/>
          <w:iCs/>
          <w:sz w:val="20"/>
          <w:szCs w:val="24"/>
        </w:rPr>
        <w:t xml:space="preserve">et al.</w:t>
      </w:r>
      <w:r>
        <w:rPr>
          <w:rFonts w:ascii="Times New Roman" w:hAnsi="Times New Roman" w:cs="Times New Roman"/>
          <w:sz w:val="20"/>
          <w:szCs w:val="24"/>
        </w:rPr>
        <w:t xml:space="preserve"> All-in-one visible-light-driven water splitting by combining nanoparticulate and molecular co-catalysts on CdS nanorods. </w:t>
      </w:r>
      <w:r>
        <w:rPr>
          <w:rFonts w:ascii="Times New Roman" w:hAnsi="Times New Roman" w:cs="Times New Roman"/>
          <w:i/>
          <w:iCs/>
          <w:sz w:val="20"/>
          <w:szCs w:val="24"/>
        </w:rPr>
        <w:t xml:space="preserve">Nat. Energy</w:t>
      </w:r>
      <w:r>
        <w:rPr>
          <w:rFonts w:ascii="Times New Roman" w:hAnsi="Times New Roman" w:cs="Times New Roman"/>
          <w:sz w:val="20"/>
          <w:szCs w:val="24"/>
        </w:rPr>
        <w:t xml:space="preserve"> </w:t>
      </w:r>
      <w:r>
        <w:rPr>
          <w:rFonts w:ascii="Times New Roman" w:hAnsi="Times New Roman" w:cs="Times New Roman"/>
          <w:b/>
          <w:bCs/>
          <w:sz w:val="20"/>
          <w:szCs w:val="24"/>
        </w:rPr>
        <w:t xml:space="preserve">3</w:t>
      </w:r>
      <w:r>
        <w:rPr>
          <w:rFonts w:ascii="Times New Roman" w:hAnsi="Times New Roman" w:cs="Times New Roman"/>
          <w:sz w:val="20"/>
          <w:szCs w:val="24"/>
        </w:rPr>
        <w:t xml:space="preserve">, 862–869 (2018).</w:t>
      </w:r>
      <w:r/>
    </w:p>
    <w:p>
      <w:pPr>
        <w:ind w:left="640" w:hanging="640"/>
        <w:jc w:val="both"/>
        <w:spacing w:lineRule="exact" w:line="240" w:after="160"/>
        <w:rPr>
          <w:rFonts w:ascii="Times New Roman" w:hAnsi="Times New Roman" w:cs="Times New Roman"/>
          <w:sz w:val="20"/>
          <w:szCs w:val="24"/>
        </w:rPr>
      </w:pPr>
      <w:r>
        <w:rPr>
          <w:rFonts w:ascii="Times New Roman" w:hAnsi="Times New Roman" w:cs="Times New Roman"/>
          <w:sz w:val="20"/>
          <w:szCs w:val="24"/>
        </w:rPr>
        <w:t xml:space="preserve">13.</w:t>
      </w:r>
      <w:r>
        <w:rPr>
          <w:rFonts w:ascii="Times New Roman" w:hAnsi="Times New Roman" w:cs="Times New Roman"/>
          <w:sz w:val="20"/>
          <w:szCs w:val="24"/>
        </w:rPr>
        <w:tab/>
        <w:t xml:space="preserve">Low, J., Yu, J., Jaroniec, M., Wageh, S. &amp; Al-Ghamdi, A. A. Heterojunction Photocatalysts. </w:t>
      </w:r>
      <w:r>
        <w:rPr>
          <w:rFonts w:ascii="Times New Roman" w:hAnsi="Times New Roman" w:cs="Times New Roman"/>
          <w:i/>
          <w:iCs/>
          <w:sz w:val="20"/>
          <w:szCs w:val="24"/>
        </w:rPr>
        <w:t xml:space="preserve">Adv. Mater.</w:t>
      </w:r>
      <w:r>
        <w:rPr>
          <w:rFonts w:ascii="Times New Roman" w:hAnsi="Times New Roman" w:cs="Times New Roman"/>
          <w:sz w:val="20"/>
          <w:szCs w:val="24"/>
        </w:rPr>
        <w:t xml:space="preserve"> </w:t>
      </w:r>
      <w:r>
        <w:rPr>
          <w:rFonts w:ascii="Times New Roman" w:hAnsi="Times New Roman" w:cs="Times New Roman"/>
          <w:b/>
          <w:bCs/>
          <w:sz w:val="20"/>
          <w:szCs w:val="24"/>
        </w:rPr>
        <w:t xml:space="preserve">29</w:t>
      </w:r>
      <w:r>
        <w:rPr>
          <w:rFonts w:ascii="Times New Roman" w:hAnsi="Times New Roman" w:cs="Times New Roman"/>
          <w:sz w:val="20"/>
          <w:szCs w:val="24"/>
        </w:rPr>
        <w:t xml:space="preserve">, 1601694 (2017).</w:t>
      </w:r>
      <w:r/>
    </w:p>
    <w:p>
      <w:pPr>
        <w:ind w:left="640" w:hanging="640"/>
        <w:jc w:val="both"/>
        <w:spacing w:lineRule="exact" w:line="240" w:after="160"/>
        <w:rPr>
          <w:rFonts w:ascii="Times New Roman" w:hAnsi="Times New Roman" w:cs="Times New Roman"/>
          <w:sz w:val="20"/>
          <w:szCs w:val="24"/>
        </w:rPr>
      </w:pPr>
      <w:r>
        <w:rPr>
          <w:rFonts w:ascii="Times New Roman" w:hAnsi="Times New Roman" w:cs="Times New Roman"/>
          <w:sz w:val="20"/>
          <w:szCs w:val="24"/>
        </w:rPr>
        <w:t xml:space="preserve">14.</w:t>
      </w:r>
      <w:r>
        <w:rPr>
          <w:rFonts w:ascii="Times New Roman" w:hAnsi="Times New Roman" w:cs="Times New Roman"/>
          <w:sz w:val="20"/>
          <w:szCs w:val="24"/>
        </w:rPr>
        <w:tab/>
        <w:t xml:space="preserve">Shang, L. </w:t>
      </w:r>
      <w:r>
        <w:rPr>
          <w:rFonts w:ascii="Times New Roman" w:hAnsi="Times New Roman" w:cs="Times New Roman"/>
          <w:i/>
          <w:iCs/>
          <w:sz w:val="20"/>
          <w:szCs w:val="24"/>
        </w:rPr>
        <w:t xml:space="preserve">et al.</w:t>
      </w:r>
      <w:r>
        <w:rPr>
          <w:rFonts w:ascii="Times New Roman" w:hAnsi="Times New Roman" w:cs="Times New Roman"/>
          <w:sz w:val="20"/>
          <w:szCs w:val="24"/>
        </w:rPr>
        <w:t xml:space="preserve"> CdS Nanoparticle-Decorated Cd Nanosheets for Efficient Visible Light-Driven Photocatalytic Hydrogen Evolution. </w:t>
      </w:r>
      <w:r>
        <w:rPr>
          <w:rFonts w:ascii="Times New Roman" w:hAnsi="Times New Roman" w:cs="Times New Roman"/>
          <w:i/>
          <w:iCs/>
          <w:sz w:val="20"/>
          <w:szCs w:val="24"/>
        </w:rPr>
        <w:t xml:space="preserve">Adv. Energy Mater.</w:t>
      </w:r>
      <w:r>
        <w:rPr>
          <w:rFonts w:ascii="Times New Roman" w:hAnsi="Times New Roman" w:cs="Times New Roman"/>
          <w:sz w:val="20"/>
          <w:szCs w:val="24"/>
        </w:rPr>
        <w:t xml:space="preserve"> </w:t>
      </w:r>
      <w:r>
        <w:rPr>
          <w:rFonts w:ascii="Times New Roman" w:hAnsi="Times New Roman" w:cs="Times New Roman"/>
          <w:b/>
          <w:bCs/>
          <w:sz w:val="20"/>
          <w:szCs w:val="24"/>
        </w:rPr>
        <w:t xml:space="preserve">6</w:t>
      </w:r>
      <w:r>
        <w:rPr>
          <w:rFonts w:ascii="Times New Roman" w:hAnsi="Times New Roman" w:cs="Times New Roman"/>
          <w:sz w:val="20"/>
          <w:szCs w:val="24"/>
        </w:rPr>
        <w:t xml:space="preserve">, 1501241 (2016).</w:t>
      </w:r>
      <w:r/>
    </w:p>
    <w:p>
      <w:pPr>
        <w:ind w:left="640" w:hanging="640"/>
        <w:jc w:val="both"/>
        <w:spacing w:lineRule="exact" w:line="240" w:after="160"/>
        <w:rPr>
          <w:rFonts w:ascii="Times New Roman" w:hAnsi="Times New Roman" w:cs="Times New Roman"/>
          <w:sz w:val="20"/>
          <w:szCs w:val="24"/>
        </w:rPr>
      </w:pPr>
      <w:r>
        <w:rPr>
          <w:rFonts w:ascii="Times New Roman" w:hAnsi="Times New Roman" w:cs="Times New Roman"/>
          <w:sz w:val="20"/>
          <w:szCs w:val="24"/>
        </w:rPr>
        <w:t xml:space="preserve">15.</w:t>
      </w:r>
      <w:r>
        <w:rPr>
          <w:rFonts w:ascii="Times New Roman" w:hAnsi="Times New Roman" w:cs="Times New Roman"/>
          <w:sz w:val="20"/>
          <w:szCs w:val="24"/>
        </w:rPr>
        <w:tab/>
        <w:t xml:space="preserve">Pan, C., Xu, J., Wang, Y., Li, D. &amp; Zhu, Y. Dramatic activity of C3N4/BiPO4 photocatalyst with core/shell structure formed by self-assembly. </w:t>
      </w:r>
      <w:r>
        <w:rPr>
          <w:rFonts w:ascii="Times New Roman" w:hAnsi="Times New Roman" w:cs="Times New Roman"/>
          <w:i/>
          <w:iCs/>
          <w:sz w:val="20"/>
          <w:szCs w:val="24"/>
        </w:rPr>
        <w:t xml:space="preserve">Adv. Funct. Mater.</w:t>
      </w:r>
      <w:r>
        <w:rPr>
          <w:rFonts w:ascii="Times New Roman" w:hAnsi="Times New Roman" w:cs="Times New Roman"/>
          <w:sz w:val="20"/>
          <w:szCs w:val="24"/>
        </w:rPr>
        <w:t xml:space="preserve"> </w:t>
      </w:r>
      <w:r>
        <w:rPr>
          <w:rFonts w:ascii="Times New Roman" w:hAnsi="Times New Roman" w:cs="Times New Roman"/>
          <w:b/>
          <w:bCs/>
          <w:sz w:val="20"/>
          <w:szCs w:val="24"/>
        </w:rPr>
        <w:t xml:space="preserve">22</w:t>
      </w:r>
      <w:r>
        <w:rPr>
          <w:rFonts w:ascii="Times New Roman" w:hAnsi="Times New Roman" w:cs="Times New Roman"/>
          <w:sz w:val="20"/>
          <w:szCs w:val="24"/>
        </w:rPr>
        <w:t xml:space="preserve">, 1518–1524 (2012).</w:t>
      </w:r>
      <w:r/>
    </w:p>
    <w:p>
      <w:pPr>
        <w:ind w:left="640" w:hanging="640"/>
        <w:jc w:val="both"/>
        <w:spacing w:lineRule="exact" w:line="240" w:after="160"/>
        <w:rPr>
          <w:rFonts w:ascii="Times New Roman" w:hAnsi="Times New Roman" w:cs="Times New Roman"/>
          <w:sz w:val="20"/>
          <w:szCs w:val="24"/>
        </w:rPr>
      </w:pPr>
      <w:r>
        <w:rPr>
          <w:rFonts w:ascii="Times New Roman" w:hAnsi="Times New Roman" w:cs="Times New Roman"/>
          <w:sz w:val="20"/>
          <w:szCs w:val="24"/>
        </w:rPr>
        <w:t xml:space="preserve">16.</w:t>
      </w:r>
      <w:r>
        <w:rPr>
          <w:rFonts w:ascii="Times New Roman" w:hAnsi="Times New Roman" w:cs="Times New Roman"/>
          <w:sz w:val="20"/>
          <w:szCs w:val="24"/>
        </w:rPr>
        <w:tab/>
        <w:t xml:space="preserve">Tada, H., Mitsui, T., Kiyonaga, T., Akita, T. &amp; Tanaka, K. All-solid-state Z-scheme in CdS-Au-TiO2 three-component nanojunction system. </w:t>
      </w:r>
      <w:r>
        <w:rPr>
          <w:rFonts w:ascii="Times New Roman" w:hAnsi="Times New Roman" w:cs="Times New Roman"/>
          <w:i/>
          <w:iCs/>
          <w:sz w:val="20"/>
          <w:szCs w:val="24"/>
        </w:rPr>
        <w:t xml:space="preserve">Nat. Mater.</w:t>
      </w:r>
      <w:r>
        <w:rPr>
          <w:rFonts w:ascii="Times New Roman" w:hAnsi="Times New Roman" w:cs="Times New Roman"/>
          <w:sz w:val="20"/>
          <w:szCs w:val="24"/>
        </w:rPr>
        <w:t xml:space="preserve"> </w:t>
      </w:r>
      <w:r>
        <w:rPr>
          <w:rFonts w:ascii="Times New Roman" w:hAnsi="Times New Roman" w:cs="Times New Roman"/>
          <w:b/>
          <w:bCs/>
          <w:sz w:val="20"/>
          <w:szCs w:val="24"/>
        </w:rPr>
        <w:t xml:space="preserve">5</w:t>
      </w:r>
      <w:r>
        <w:rPr>
          <w:rFonts w:ascii="Times New Roman" w:hAnsi="Times New Roman" w:cs="Times New Roman"/>
          <w:sz w:val="20"/>
          <w:szCs w:val="24"/>
        </w:rPr>
        <w:t xml:space="preserve">, 782–786 (2006).</w:t>
      </w:r>
      <w:r/>
    </w:p>
    <w:p>
      <w:pPr>
        <w:ind w:left="640" w:hanging="640"/>
        <w:jc w:val="both"/>
        <w:spacing w:lineRule="exact" w:line="240" w:after="160"/>
        <w:rPr>
          <w:rFonts w:ascii="Times New Roman" w:hAnsi="Times New Roman" w:cs="Times New Roman"/>
          <w:sz w:val="20"/>
          <w:szCs w:val="24"/>
        </w:rPr>
      </w:pPr>
      <w:r>
        <w:rPr>
          <w:rFonts w:ascii="Times New Roman" w:hAnsi="Times New Roman" w:cs="Times New Roman"/>
          <w:sz w:val="20"/>
          <w:szCs w:val="24"/>
        </w:rPr>
        <w:t xml:space="preserve">17.</w:t>
      </w:r>
      <w:r>
        <w:rPr>
          <w:rFonts w:ascii="Times New Roman" w:hAnsi="Times New Roman" w:cs="Times New Roman"/>
          <w:sz w:val="20"/>
          <w:szCs w:val="24"/>
        </w:rPr>
        <w:tab/>
        <w:t xml:space="preserve">Zhang, Z. </w:t>
      </w:r>
      <w:r>
        <w:rPr>
          <w:rFonts w:ascii="Times New Roman" w:hAnsi="Times New Roman" w:cs="Times New Roman"/>
          <w:i/>
          <w:iCs/>
          <w:sz w:val="20"/>
          <w:szCs w:val="24"/>
        </w:rPr>
        <w:t xml:space="preserve">et al.</w:t>
      </w:r>
      <w:r>
        <w:rPr>
          <w:rFonts w:ascii="Times New Roman" w:hAnsi="Times New Roman" w:cs="Times New Roman"/>
          <w:sz w:val="20"/>
          <w:szCs w:val="24"/>
        </w:rPr>
        <w:t xml:space="preserve"> A Nonmetal Plasmonic Z-Scheme Photocatalyst with UV- to NIR-Driven Photocatalytic Protons Reduction. </w:t>
      </w:r>
      <w:r>
        <w:rPr>
          <w:rFonts w:ascii="Times New Roman" w:hAnsi="Times New Roman" w:cs="Times New Roman"/>
          <w:i/>
          <w:iCs/>
          <w:sz w:val="20"/>
          <w:szCs w:val="24"/>
        </w:rPr>
        <w:t xml:space="preserve">Adv. Mater.</w:t>
      </w:r>
      <w:r>
        <w:rPr>
          <w:rFonts w:ascii="Times New Roman" w:hAnsi="Times New Roman" w:cs="Times New Roman"/>
          <w:sz w:val="20"/>
          <w:szCs w:val="24"/>
        </w:rPr>
        <w:t xml:space="preserve"> </w:t>
      </w:r>
      <w:r>
        <w:rPr>
          <w:rFonts w:ascii="Times New Roman" w:hAnsi="Times New Roman" w:cs="Times New Roman"/>
          <w:b/>
          <w:bCs/>
          <w:sz w:val="20"/>
          <w:szCs w:val="24"/>
        </w:rPr>
        <w:t xml:space="preserve">29</w:t>
      </w:r>
      <w:r>
        <w:rPr>
          <w:rFonts w:ascii="Times New Roman" w:hAnsi="Times New Roman" w:cs="Times New Roman"/>
          <w:sz w:val="20"/>
          <w:szCs w:val="24"/>
        </w:rPr>
        <w:t xml:space="preserve">, 1606688 (2017).</w:t>
      </w:r>
      <w:r/>
    </w:p>
    <w:p>
      <w:pPr>
        <w:ind w:left="640" w:hanging="640"/>
        <w:jc w:val="both"/>
        <w:spacing w:lineRule="exact" w:line="240" w:after="160"/>
        <w:rPr>
          <w:rFonts w:ascii="Times New Roman" w:hAnsi="Times New Roman" w:cs="Times New Roman"/>
          <w:sz w:val="20"/>
          <w:szCs w:val="24"/>
        </w:rPr>
      </w:pPr>
      <w:r>
        <w:rPr>
          <w:rFonts w:ascii="Times New Roman" w:hAnsi="Times New Roman" w:cs="Times New Roman"/>
          <w:sz w:val="20"/>
          <w:szCs w:val="24"/>
        </w:rPr>
        <w:t xml:space="preserve">18.</w:t>
      </w:r>
      <w:r>
        <w:rPr>
          <w:rFonts w:ascii="Times New Roman" w:hAnsi="Times New Roman" w:cs="Times New Roman"/>
          <w:sz w:val="20"/>
          <w:szCs w:val="24"/>
        </w:rPr>
        <w:tab/>
        <w:t xml:space="preserve">Wang, Q. </w:t>
      </w:r>
      <w:r>
        <w:rPr>
          <w:rFonts w:ascii="Times New Roman" w:hAnsi="Times New Roman" w:cs="Times New Roman"/>
          <w:i/>
          <w:iCs/>
          <w:sz w:val="20"/>
          <w:szCs w:val="24"/>
        </w:rPr>
        <w:t xml:space="preserve">et al.</w:t>
      </w:r>
      <w:r>
        <w:rPr>
          <w:rFonts w:ascii="Times New Roman" w:hAnsi="Times New Roman" w:cs="Times New Roman"/>
          <w:sz w:val="20"/>
          <w:szCs w:val="24"/>
        </w:rPr>
        <w:t xml:space="preserve"> Printable Photocatalyst Sheets Incorporating a Transparent Conductive Mediator for Z-Scheme Water Splitting. </w:t>
      </w:r>
      <w:r>
        <w:rPr>
          <w:rFonts w:ascii="Times New Roman" w:hAnsi="Times New Roman" w:cs="Times New Roman"/>
          <w:i/>
          <w:iCs/>
          <w:sz w:val="20"/>
          <w:szCs w:val="24"/>
        </w:rPr>
        <w:t xml:space="preserve">Joule</w:t>
      </w:r>
      <w:r>
        <w:rPr>
          <w:rFonts w:ascii="Times New Roman" w:hAnsi="Times New Roman" w:cs="Times New Roman"/>
          <w:sz w:val="20"/>
          <w:szCs w:val="24"/>
        </w:rPr>
        <w:t xml:space="preserve"> </w:t>
      </w:r>
      <w:r>
        <w:rPr>
          <w:rFonts w:ascii="Times New Roman" w:hAnsi="Times New Roman" w:cs="Times New Roman"/>
          <w:b/>
          <w:bCs/>
          <w:sz w:val="20"/>
          <w:szCs w:val="24"/>
        </w:rPr>
        <w:t xml:space="preserve">2</w:t>
      </w:r>
      <w:r>
        <w:rPr>
          <w:rFonts w:ascii="Times New Roman" w:hAnsi="Times New Roman" w:cs="Times New Roman"/>
          <w:sz w:val="20"/>
          <w:szCs w:val="24"/>
        </w:rPr>
        <w:t xml:space="preserve">, 2667–2680 (2018).</w:t>
      </w:r>
      <w:r/>
    </w:p>
    <w:p>
      <w:pPr>
        <w:ind w:left="640" w:hanging="640"/>
        <w:jc w:val="both"/>
        <w:spacing w:lineRule="exact" w:line="240" w:after="160"/>
        <w:rPr>
          <w:rFonts w:ascii="Times New Roman" w:hAnsi="Times New Roman" w:cs="Times New Roman"/>
          <w:sz w:val="20"/>
          <w:szCs w:val="24"/>
        </w:rPr>
      </w:pPr>
      <w:r>
        <w:rPr>
          <w:rFonts w:ascii="Times New Roman" w:hAnsi="Times New Roman" w:cs="Times New Roman"/>
          <w:sz w:val="20"/>
          <w:szCs w:val="24"/>
        </w:rPr>
        <w:t xml:space="preserve">19.</w:t>
      </w:r>
      <w:r>
        <w:rPr>
          <w:rFonts w:ascii="Times New Roman" w:hAnsi="Times New Roman" w:cs="Times New Roman"/>
          <w:sz w:val="20"/>
          <w:szCs w:val="24"/>
        </w:rPr>
        <w:tab/>
        <w:t xml:space="preserve">Hou, W. &amp; Cronin, S. B. A review of surface plasmon resonance-enhanced photocatalysis. </w:t>
      </w:r>
      <w:r>
        <w:rPr>
          <w:rFonts w:ascii="Times New Roman" w:hAnsi="Times New Roman" w:cs="Times New Roman"/>
          <w:i/>
          <w:iCs/>
          <w:sz w:val="20"/>
          <w:szCs w:val="24"/>
        </w:rPr>
        <w:t xml:space="preserve">Adv. Funct. Mater.</w:t>
      </w:r>
      <w:r>
        <w:rPr>
          <w:rFonts w:ascii="Times New Roman" w:hAnsi="Times New Roman" w:cs="Times New Roman"/>
          <w:sz w:val="20"/>
          <w:szCs w:val="24"/>
        </w:rPr>
        <w:t xml:space="preserve"> </w:t>
      </w:r>
      <w:r>
        <w:rPr>
          <w:rFonts w:ascii="Times New Roman" w:hAnsi="Times New Roman" w:cs="Times New Roman"/>
          <w:b/>
          <w:bCs/>
          <w:sz w:val="20"/>
          <w:szCs w:val="24"/>
        </w:rPr>
        <w:t xml:space="preserve">23</w:t>
      </w:r>
      <w:r>
        <w:rPr>
          <w:rFonts w:ascii="Times New Roman" w:hAnsi="Times New Roman" w:cs="Times New Roman"/>
          <w:sz w:val="20"/>
          <w:szCs w:val="24"/>
        </w:rPr>
        <w:t xml:space="preserve">, 1612–1619 (2013).</w:t>
      </w:r>
      <w:r/>
    </w:p>
    <w:p>
      <w:pPr>
        <w:ind w:left="640" w:hanging="640"/>
        <w:jc w:val="both"/>
        <w:spacing w:lineRule="exact" w:line="240" w:after="160"/>
        <w:rPr>
          <w:rFonts w:ascii="Times New Roman" w:hAnsi="Times New Roman" w:cs="Times New Roman"/>
          <w:sz w:val="20"/>
          <w:szCs w:val="24"/>
        </w:rPr>
      </w:pPr>
      <w:r>
        <w:rPr>
          <w:rFonts w:ascii="Times New Roman" w:hAnsi="Times New Roman" w:cs="Times New Roman"/>
          <w:sz w:val="20"/>
          <w:szCs w:val="24"/>
        </w:rPr>
        <w:t xml:space="preserve">20.</w:t>
      </w:r>
      <w:r>
        <w:rPr>
          <w:rFonts w:ascii="Times New Roman" w:hAnsi="Times New Roman" w:cs="Times New Roman"/>
          <w:sz w:val="20"/>
          <w:szCs w:val="24"/>
        </w:rPr>
        <w:tab/>
        <w:t xml:space="preserve">Selwood, P. W. Magnetism and catalysis. </w:t>
      </w:r>
      <w:r>
        <w:rPr>
          <w:rFonts w:ascii="Times New Roman" w:hAnsi="Times New Roman" w:cs="Times New Roman"/>
          <w:i/>
          <w:iCs/>
          <w:sz w:val="20"/>
          <w:szCs w:val="24"/>
        </w:rPr>
        <w:t xml:space="preserve">Chem. Rev.</w:t>
      </w:r>
      <w:r>
        <w:rPr>
          <w:rFonts w:ascii="Times New Roman" w:hAnsi="Times New Roman" w:cs="Times New Roman"/>
          <w:sz w:val="20"/>
          <w:szCs w:val="24"/>
        </w:rPr>
        <w:t xml:space="preserve"> </w:t>
      </w:r>
      <w:r>
        <w:rPr>
          <w:rFonts w:ascii="Times New Roman" w:hAnsi="Times New Roman" w:cs="Times New Roman"/>
          <w:b/>
          <w:bCs/>
          <w:sz w:val="20"/>
          <w:szCs w:val="24"/>
        </w:rPr>
        <w:t xml:space="preserve">38</w:t>
      </w:r>
      <w:r>
        <w:rPr>
          <w:rFonts w:ascii="Times New Roman" w:hAnsi="Times New Roman" w:cs="Times New Roman"/>
          <w:sz w:val="20"/>
          <w:szCs w:val="24"/>
        </w:rPr>
        <w:t xml:space="preserve">, 41–82 (1946).</w:t>
      </w:r>
      <w:r/>
    </w:p>
    <w:p>
      <w:pPr>
        <w:ind w:left="640" w:hanging="640"/>
        <w:jc w:val="both"/>
        <w:spacing w:lineRule="exact" w:line="240" w:after="160"/>
        <w:rPr>
          <w:rFonts w:ascii="Times New Roman" w:hAnsi="Times New Roman" w:cs="Times New Roman"/>
          <w:sz w:val="20"/>
          <w:szCs w:val="24"/>
        </w:rPr>
      </w:pPr>
      <w:r>
        <w:rPr>
          <w:rFonts w:ascii="Times New Roman" w:hAnsi="Times New Roman" w:cs="Times New Roman"/>
          <w:sz w:val="20"/>
          <w:szCs w:val="24"/>
        </w:rPr>
        <w:t xml:space="preserve">21.</w:t>
      </w:r>
      <w:r>
        <w:rPr>
          <w:rFonts w:ascii="Times New Roman" w:hAnsi="Times New Roman" w:cs="Times New Roman"/>
          <w:sz w:val="20"/>
          <w:szCs w:val="24"/>
        </w:rPr>
        <w:tab/>
        <w:t xml:space="preserve">Steiner, U. E. &amp; Ulrich, T. Magnetic Field Effects in Chemical Kinetics and Related Phenomena. </w:t>
      </w:r>
      <w:r>
        <w:rPr>
          <w:rFonts w:ascii="Times New Roman" w:hAnsi="Times New Roman" w:cs="Times New Roman"/>
          <w:i/>
          <w:iCs/>
          <w:sz w:val="20"/>
          <w:szCs w:val="24"/>
        </w:rPr>
        <w:t xml:space="preserve">Chem. Rev.</w:t>
      </w:r>
      <w:r>
        <w:rPr>
          <w:rFonts w:ascii="Times New Roman" w:hAnsi="Times New Roman" w:cs="Times New Roman"/>
          <w:sz w:val="20"/>
          <w:szCs w:val="24"/>
        </w:rPr>
        <w:t xml:space="preserve"> </w:t>
      </w:r>
      <w:r>
        <w:rPr>
          <w:rFonts w:ascii="Times New Roman" w:hAnsi="Times New Roman" w:cs="Times New Roman"/>
          <w:b/>
          <w:bCs/>
          <w:sz w:val="20"/>
          <w:szCs w:val="24"/>
        </w:rPr>
        <w:t xml:space="preserve">89</w:t>
      </w:r>
      <w:r>
        <w:rPr>
          <w:rFonts w:ascii="Times New Roman" w:hAnsi="Times New Roman" w:cs="Times New Roman"/>
          <w:sz w:val="20"/>
          <w:szCs w:val="24"/>
        </w:rPr>
        <w:t xml:space="preserve">, 51–147 (1989).</w:t>
      </w:r>
      <w:r/>
    </w:p>
    <w:p>
      <w:pPr>
        <w:ind w:left="640" w:hanging="640"/>
        <w:jc w:val="both"/>
        <w:spacing w:lineRule="exact" w:line="240" w:after="160"/>
        <w:rPr>
          <w:rFonts w:ascii="Times New Roman" w:hAnsi="Times New Roman" w:cs="Times New Roman"/>
          <w:sz w:val="20"/>
          <w:szCs w:val="24"/>
        </w:rPr>
      </w:pPr>
      <w:r>
        <w:rPr>
          <w:rFonts w:ascii="Times New Roman" w:hAnsi="Times New Roman" w:cs="Times New Roman"/>
          <w:sz w:val="20"/>
          <w:szCs w:val="24"/>
        </w:rPr>
        <w:t xml:space="preserve">22.</w:t>
      </w:r>
      <w:r>
        <w:rPr>
          <w:rFonts w:ascii="Times New Roman" w:hAnsi="Times New Roman" w:cs="Times New Roman"/>
          <w:sz w:val="20"/>
          <w:szCs w:val="24"/>
        </w:rPr>
        <w:tab/>
        <w:t xml:space="preserve">Okumura, H., Endo, S., Joonwichien, S., Yamasue, E. &amp; Ishihara, K. N. Magnetic field effect on heterogeneous photocatalysis. </w:t>
      </w:r>
      <w:r>
        <w:rPr>
          <w:rFonts w:ascii="Times New Roman" w:hAnsi="Times New Roman" w:cs="Times New Roman"/>
          <w:i/>
          <w:iCs/>
          <w:sz w:val="20"/>
          <w:szCs w:val="24"/>
        </w:rPr>
        <w:t xml:space="preserve">Catal. Today</w:t>
      </w:r>
      <w:r>
        <w:rPr>
          <w:rFonts w:ascii="Times New Roman" w:hAnsi="Times New Roman" w:cs="Times New Roman"/>
          <w:sz w:val="20"/>
          <w:szCs w:val="24"/>
        </w:rPr>
        <w:t xml:space="preserve"> </w:t>
      </w:r>
      <w:r>
        <w:rPr>
          <w:rFonts w:ascii="Times New Roman" w:hAnsi="Times New Roman" w:cs="Times New Roman"/>
          <w:b/>
          <w:bCs/>
          <w:sz w:val="20"/>
          <w:szCs w:val="24"/>
        </w:rPr>
        <w:t xml:space="preserve">258</w:t>
      </w:r>
      <w:r>
        <w:rPr>
          <w:rFonts w:ascii="Times New Roman" w:hAnsi="Times New Roman" w:cs="Times New Roman"/>
          <w:sz w:val="20"/>
          <w:szCs w:val="24"/>
        </w:rPr>
        <w:t xml:space="preserve">, 634–647 (2015).</w:t>
      </w:r>
      <w:r/>
    </w:p>
    <w:p>
      <w:pPr>
        <w:ind w:left="640" w:hanging="640"/>
        <w:jc w:val="both"/>
        <w:spacing w:lineRule="exact" w:line="240" w:after="160"/>
        <w:rPr>
          <w:rFonts w:ascii="Times New Roman" w:hAnsi="Times New Roman" w:cs="Times New Roman"/>
          <w:sz w:val="20"/>
          <w:szCs w:val="24"/>
        </w:rPr>
      </w:pPr>
      <w:r>
        <w:rPr>
          <w:rFonts w:ascii="Times New Roman" w:hAnsi="Times New Roman" w:cs="Times New Roman"/>
          <w:sz w:val="20"/>
          <w:szCs w:val="24"/>
        </w:rPr>
        <w:t xml:space="preserve">23.</w:t>
      </w:r>
      <w:r>
        <w:rPr>
          <w:rFonts w:ascii="Times New Roman" w:hAnsi="Times New Roman" w:cs="Times New Roman"/>
          <w:sz w:val="20"/>
          <w:szCs w:val="24"/>
        </w:rPr>
        <w:tab/>
        <w:t xml:space="preserve">Li, J. </w:t>
      </w:r>
      <w:r>
        <w:rPr>
          <w:rFonts w:ascii="Times New Roman" w:hAnsi="Times New Roman" w:cs="Times New Roman"/>
          <w:i/>
          <w:iCs/>
          <w:sz w:val="20"/>
          <w:szCs w:val="24"/>
        </w:rPr>
        <w:t xml:space="preserve">et al.</w:t>
      </w:r>
      <w:r>
        <w:rPr>
          <w:rFonts w:ascii="Times New Roman" w:hAnsi="Times New Roman" w:cs="Times New Roman"/>
          <w:sz w:val="20"/>
          <w:szCs w:val="24"/>
        </w:rPr>
        <w:t xml:space="preserve"> Enhanced Photocatalytic Performance through Magnetic Field Boosting Carrier Transport. </w:t>
      </w:r>
      <w:r>
        <w:rPr>
          <w:rFonts w:ascii="Times New Roman" w:hAnsi="Times New Roman" w:cs="Times New Roman"/>
          <w:i/>
          <w:iCs/>
          <w:sz w:val="20"/>
          <w:szCs w:val="24"/>
        </w:rPr>
        <w:t xml:space="preserve">ACS Nano</w:t>
      </w:r>
      <w:r>
        <w:rPr>
          <w:rFonts w:ascii="Times New Roman" w:hAnsi="Times New Roman" w:cs="Times New Roman"/>
          <w:sz w:val="20"/>
          <w:szCs w:val="24"/>
        </w:rPr>
        <w:t xml:space="preserve"> </w:t>
      </w:r>
      <w:r>
        <w:rPr>
          <w:rFonts w:ascii="Times New Roman" w:hAnsi="Times New Roman" w:cs="Times New Roman"/>
          <w:b/>
          <w:bCs/>
          <w:sz w:val="20"/>
          <w:szCs w:val="24"/>
        </w:rPr>
        <w:t xml:space="preserve">12</w:t>
      </w:r>
      <w:r>
        <w:rPr>
          <w:rFonts w:ascii="Times New Roman" w:hAnsi="Times New Roman" w:cs="Times New Roman"/>
          <w:sz w:val="20"/>
          <w:szCs w:val="24"/>
        </w:rPr>
        <w:t xml:space="preserve">, 3351–3359 (2018).</w:t>
      </w:r>
      <w:r/>
    </w:p>
    <w:p>
      <w:pPr>
        <w:ind w:left="640" w:hanging="640"/>
        <w:jc w:val="both"/>
        <w:spacing w:lineRule="exact" w:line="240" w:after="160"/>
        <w:rPr>
          <w:rFonts w:ascii="Times New Roman" w:hAnsi="Times New Roman" w:cs="Times New Roman"/>
          <w:sz w:val="20"/>
          <w:szCs w:val="24"/>
        </w:rPr>
      </w:pPr>
      <w:r>
        <w:rPr>
          <w:rFonts w:ascii="Times New Roman" w:hAnsi="Times New Roman" w:cs="Times New Roman"/>
          <w:sz w:val="20"/>
          <w:szCs w:val="24"/>
        </w:rPr>
        <w:t xml:space="preserve">24.</w:t>
      </w:r>
      <w:r>
        <w:rPr>
          <w:rFonts w:ascii="Times New Roman" w:hAnsi="Times New Roman" w:cs="Times New Roman"/>
          <w:sz w:val="20"/>
          <w:szCs w:val="24"/>
        </w:rPr>
        <w:tab/>
        <w:t xml:space="preserve">Gao, W. </w:t>
      </w:r>
      <w:r>
        <w:rPr>
          <w:rFonts w:ascii="Times New Roman" w:hAnsi="Times New Roman" w:cs="Times New Roman"/>
          <w:i/>
          <w:iCs/>
          <w:sz w:val="20"/>
          <w:szCs w:val="24"/>
        </w:rPr>
        <w:t xml:space="preserve">et al.</w:t>
      </w:r>
      <w:r>
        <w:rPr>
          <w:rFonts w:ascii="Times New Roman" w:hAnsi="Times New Roman" w:cs="Times New Roman"/>
          <w:sz w:val="20"/>
          <w:szCs w:val="24"/>
        </w:rPr>
        <w:t xml:space="preserve"> Suppressing Photoinduced Charge Recombination via the Lorentz Force in a Photocatalytic System. </w:t>
      </w:r>
      <w:r>
        <w:rPr>
          <w:rFonts w:ascii="Times New Roman" w:hAnsi="Times New Roman" w:cs="Times New Roman"/>
          <w:i/>
          <w:iCs/>
          <w:sz w:val="20"/>
          <w:szCs w:val="24"/>
        </w:rPr>
        <w:t xml:space="preserve">Adv. Sci.</w:t>
      </w:r>
      <w:r>
        <w:rPr>
          <w:rFonts w:ascii="Times New Roman" w:hAnsi="Times New Roman" w:cs="Times New Roman"/>
          <w:sz w:val="20"/>
          <w:szCs w:val="24"/>
        </w:rPr>
        <w:t xml:space="preserve"> </w:t>
      </w:r>
      <w:r>
        <w:rPr>
          <w:rFonts w:ascii="Times New Roman" w:hAnsi="Times New Roman" w:cs="Times New Roman"/>
          <w:b/>
          <w:bCs/>
          <w:sz w:val="20"/>
          <w:szCs w:val="24"/>
        </w:rPr>
        <w:t xml:space="preserve">6</w:t>
      </w:r>
      <w:r>
        <w:rPr>
          <w:rFonts w:ascii="Times New Roman" w:hAnsi="Times New Roman" w:cs="Times New Roman"/>
          <w:sz w:val="20"/>
          <w:szCs w:val="24"/>
        </w:rPr>
        <w:t xml:space="preserve">, 1901244 (2019).</w:t>
      </w:r>
      <w:r/>
    </w:p>
    <w:p>
      <w:pPr>
        <w:ind w:left="640" w:hanging="640"/>
        <w:jc w:val="both"/>
        <w:spacing w:lineRule="exact" w:line="240" w:after="160"/>
        <w:rPr>
          <w:rFonts w:ascii="Times New Roman" w:hAnsi="Times New Roman" w:cs="Times New Roman"/>
          <w:sz w:val="20"/>
          <w:szCs w:val="24"/>
        </w:rPr>
      </w:pPr>
      <w:r>
        <w:rPr>
          <w:rFonts w:ascii="Times New Roman" w:hAnsi="Times New Roman" w:cs="Times New Roman"/>
          <w:sz w:val="20"/>
          <w:szCs w:val="24"/>
        </w:rPr>
        <w:t xml:space="preserve">25.</w:t>
      </w:r>
      <w:r>
        <w:rPr>
          <w:rFonts w:ascii="Times New Roman" w:hAnsi="Times New Roman" w:cs="Times New Roman"/>
          <w:sz w:val="20"/>
          <w:szCs w:val="24"/>
        </w:rPr>
        <w:tab/>
        <w:t xml:space="preserve">Peng, Y. K. </w:t>
      </w:r>
      <w:r>
        <w:rPr>
          <w:rFonts w:ascii="Times New Roman" w:hAnsi="Times New Roman" w:cs="Times New Roman"/>
          <w:i/>
          <w:iCs/>
          <w:sz w:val="20"/>
          <w:szCs w:val="24"/>
        </w:rPr>
        <w:t xml:space="preserve">et al.</w:t>
      </w:r>
      <w:r>
        <w:rPr>
          <w:rFonts w:ascii="Times New Roman" w:hAnsi="Times New Roman" w:cs="Times New Roman"/>
          <w:sz w:val="20"/>
          <w:szCs w:val="24"/>
        </w:rPr>
        <w:t xml:space="preserve"> Engineering of Single Magnetic Particle Carrier for Living Brain Cell Imaging: A Tunable T1-/T2-/Dual-Modal Contrast Agent for Magnetic Resonance Imaging Application. </w:t>
      </w:r>
      <w:r>
        <w:rPr>
          <w:rFonts w:ascii="Times New Roman" w:hAnsi="Times New Roman" w:cs="Times New Roman"/>
          <w:i/>
          <w:iCs/>
          <w:sz w:val="20"/>
          <w:szCs w:val="24"/>
        </w:rPr>
        <w:t xml:space="preserve">Chem. Mater.</w:t>
      </w:r>
      <w:r>
        <w:rPr>
          <w:rFonts w:ascii="Times New Roman" w:hAnsi="Times New Roman" w:cs="Times New Roman"/>
          <w:sz w:val="20"/>
          <w:szCs w:val="24"/>
        </w:rPr>
        <w:t xml:space="preserve"> </w:t>
      </w:r>
      <w:r>
        <w:rPr>
          <w:rFonts w:ascii="Times New Roman" w:hAnsi="Times New Roman" w:cs="Times New Roman"/>
          <w:b/>
          <w:bCs/>
          <w:sz w:val="20"/>
          <w:szCs w:val="24"/>
        </w:rPr>
        <w:t xml:space="preserve">29</w:t>
      </w:r>
      <w:r>
        <w:rPr>
          <w:rFonts w:ascii="Times New Roman" w:hAnsi="Times New Roman" w:cs="Times New Roman"/>
          <w:sz w:val="20"/>
          <w:szCs w:val="24"/>
        </w:rPr>
        <w:t xml:space="preserve">, 4411–4417 (2017).</w:t>
      </w:r>
      <w:r/>
    </w:p>
    <w:p>
      <w:pPr>
        <w:ind w:left="640" w:hanging="640"/>
        <w:jc w:val="both"/>
        <w:spacing w:lineRule="exact" w:line="240" w:after="160"/>
        <w:rPr>
          <w:rFonts w:ascii="Times New Roman" w:hAnsi="Times New Roman" w:cs="Times New Roman"/>
          <w:sz w:val="20"/>
          <w:szCs w:val="24"/>
        </w:rPr>
      </w:pPr>
      <w:r>
        <w:rPr>
          <w:rFonts w:ascii="Times New Roman" w:hAnsi="Times New Roman" w:cs="Times New Roman"/>
          <w:sz w:val="20"/>
          <w:szCs w:val="24"/>
        </w:rPr>
        <w:t xml:space="preserve">26.</w:t>
      </w:r>
      <w:r>
        <w:rPr>
          <w:rFonts w:ascii="Times New Roman" w:hAnsi="Times New Roman" w:cs="Times New Roman"/>
          <w:sz w:val="20"/>
          <w:szCs w:val="24"/>
        </w:rPr>
        <w:tab/>
        <w:t xml:space="preserve">Li, Y. &amp; Tsang, S. C. E. Recent Progress and Strategies for Enhancing Photocatalytic Water Splitting. </w:t>
      </w:r>
      <w:r>
        <w:rPr>
          <w:rFonts w:ascii="Times New Roman" w:hAnsi="Times New Roman" w:cs="Times New Roman"/>
          <w:i/>
          <w:iCs/>
          <w:sz w:val="20"/>
          <w:szCs w:val="24"/>
        </w:rPr>
        <w:t xml:space="preserve">Mater. Today Sustain.</w:t>
      </w:r>
      <w:r>
        <w:rPr>
          <w:rFonts w:ascii="Times New Roman" w:hAnsi="Times New Roman" w:cs="Times New Roman"/>
          <w:sz w:val="20"/>
          <w:szCs w:val="24"/>
        </w:rPr>
        <w:t xml:space="preserve"> </w:t>
      </w:r>
      <w:r>
        <w:rPr>
          <w:rFonts w:ascii="Times New Roman" w:hAnsi="Times New Roman" w:cs="Times New Roman"/>
          <w:b/>
          <w:bCs/>
          <w:sz w:val="20"/>
          <w:szCs w:val="24"/>
        </w:rPr>
        <w:t xml:space="preserve">9</w:t>
      </w:r>
      <w:r>
        <w:rPr>
          <w:rFonts w:ascii="Times New Roman" w:hAnsi="Times New Roman" w:cs="Times New Roman"/>
          <w:sz w:val="20"/>
          <w:szCs w:val="24"/>
        </w:rPr>
        <w:t xml:space="preserve">, 100032 (2020).</w:t>
      </w:r>
      <w:r/>
    </w:p>
    <w:p>
      <w:pPr>
        <w:ind w:left="640" w:hanging="640"/>
        <w:jc w:val="both"/>
        <w:spacing w:lineRule="exact" w:line="240" w:after="160"/>
        <w:rPr>
          <w:rFonts w:ascii="Times New Roman" w:hAnsi="Times New Roman" w:cs="Times New Roman"/>
          <w:sz w:val="20"/>
          <w:szCs w:val="24"/>
        </w:rPr>
      </w:pPr>
      <w:r>
        <w:rPr>
          <w:rFonts w:ascii="Times New Roman" w:hAnsi="Times New Roman" w:cs="Times New Roman"/>
          <w:sz w:val="20"/>
          <w:szCs w:val="24"/>
        </w:rPr>
        <w:t xml:space="preserve">27.</w:t>
      </w:r>
      <w:r>
        <w:rPr>
          <w:rFonts w:ascii="Times New Roman" w:hAnsi="Times New Roman" w:cs="Times New Roman"/>
          <w:sz w:val="20"/>
          <w:szCs w:val="24"/>
        </w:rPr>
        <w:tab/>
        <w:t xml:space="preserve">Tao, J. G. </w:t>
      </w:r>
      <w:r>
        <w:rPr>
          <w:rFonts w:ascii="Times New Roman" w:hAnsi="Times New Roman" w:cs="Times New Roman"/>
          <w:i/>
          <w:iCs/>
          <w:sz w:val="20"/>
          <w:szCs w:val="24"/>
        </w:rPr>
        <w:t xml:space="preserve">et al.</w:t>
      </w:r>
      <w:r>
        <w:rPr>
          <w:rFonts w:ascii="Times New Roman" w:hAnsi="Times New Roman" w:cs="Times New Roman"/>
          <w:sz w:val="20"/>
          <w:szCs w:val="24"/>
        </w:rPr>
        <w:t xml:space="preserve"> Density functional study on ferromagnetism in nitrogen-doped anatase TiO2. </w:t>
      </w:r>
      <w:r>
        <w:rPr>
          <w:rFonts w:ascii="Times New Roman" w:hAnsi="Times New Roman" w:cs="Times New Roman"/>
          <w:i/>
          <w:iCs/>
          <w:sz w:val="20"/>
          <w:szCs w:val="24"/>
        </w:rPr>
        <w:t xml:space="preserve">Appl. Phys. Lett.</w:t>
      </w:r>
      <w:r>
        <w:rPr>
          <w:rFonts w:ascii="Times New Roman" w:hAnsi="Times New Roman" w:cs="Times New Roman"/>
          <w:sz w:val="20"/>
          <w:szCs w:val="24"/>
        </w:rPr>
        <w:t xml:space="preserve"> </w:t>
      </w:r>
      <w:r>
        <w:rPr>
          <w:rFonts w:ascii="Times New Roman" w:hAnsi="Times New Roman" w:cs="Times New Roman"/>
          <w:b/>
          <w:bCs/>
          <w:sz w:val="20"/>
          <w:szCs w:val="24"/>
        </w:rPr>
        <w:t xml:space="preserve">95</w:t>
      </w:r>
      <w:r>
        <w:rPr>
          <w:rFonts w:ascii="Times New Roman" w:hAnsi="Times New Roman" w:cs="Times New Roman"/>
          <w:sz w:val="20"/>
          <w:szCs w:val="24"/>
        </w:rPr>
        <w:t xml:space="preserve">, 93–96 (2009).</w:t>
      </w:r>
      <w:r/>
    </w:p>
    <w:p>
      <w:pPr>
        <w:ind w:left="640" w:hanging="640"/>
        <w:jc w:val="both"/>
        <w:spacing w:lineRule="exact" w:line="240" w:after="160"/>
        <w:rPr>
          <w:rFonts w:ascii="Times New Roman" w:hAnsi="Times New Roman" w:cs="Times New Roman"/>
          <w:sz w:val="20"/>
          <w:szCs w:val="24"/>
        </w:rPr>
      </w:pPr>
      <w:r>
        <w:rPr>
          <w:rFonts w:ascii="Times New Roman" w:hAnsi="Times New Roman" w:cs="Times New Roman"/>
          <w:sz w:val="20"/>
          <w:szCs w:val="24"/>
        </w:rPr>
        <w:t xml:space="preserve">28.</w:t>
      </w:r>
      <w:r>
        <w:rPr>
          <w:rFonts w:ascii="Times New Roman" w:hAnsi="Times New Roman" w:cs="Times New Roman"/>
          <w:sz w:val="20"/>
          <w:szCs w:val="24"/>
        </w:rPr>
        <w:tab/>
        <w:t xml:space="preserve">Foo, C. </w:t>
      </w:r>
      <w:r>
        <w:rPr>
          <w:rFonts w:ascii="Times New Roman" w:hAnsi="Times New Roman" w:cs="Times New Roman"/>
          <w:i/>
          <w:iCs/>
          <w:sz w:val="20"/>
          <w:szCs w:val="24"/>
        </w:rPr>
        <w:t xml:space="preserve">et al.</w:t>
      </w:r>
      <w:r>
        <w:rPr>
          <w:rFonts w:ascii="Times New Roman" w:hAnsi="Times New Roman" w:cs="Times New Roman"/>
          <w:sz w:val="20"/>
          <w:szCs w:val="24"/>
        </w:rPr>
        <w:t xml:space="preserve"> A Structural Study of TiO 2 powder phases with O Defects and N impurities on Photocatalytic Activity Using Variable-Temperature Synchrotron X- Ray Powder Diffraction. </w:t>
      </w:r>
      <w:r>
        <w:rPr>
          <w:rFonts w:ascii="Times New Roman" w:hAnsi="Times New Roman" w:cs="Times New Roman"/>
          <w:i/>
          <w:iCs/>
          <w:sz w:val="20"/>
          <w:szCs w:val="24"/>
        </w:rPr>
        <w:t xml:space="preserve">Nat. Commun.</w:t>
      </w:r>
      <w:r>
        <w:rPr>
          <w:rFonts w:ascii="Times New Roman" w:hAnsi="Times New Roman" w:cs="Times New Roman"/>
          <w:sz w:val="20"/>
          <w:szCs w:val="24"/>
        </w:rPr>
        <w:t xml:space="preserve"> In press (2021).</w:t>
      </w:r>
      <w:r/>
    </w:p>
    <w:p>
      <w:pPr>
        <w:ind w:left="640" w:hanging="640"/>
        <w:jc w:val="both"/>
        <w:spacing w:lineRule="exact" w:line="240" w:after="160"/>
        <w:rPr>
          <w:rFonts w:ascii="Times New Roman" w:hAnsi="Times New Roman" w:cs="Times New Roman"/>
          <w:sz w:val="20"/>
          <w:szCs w:val="24"/>
        </w:rPr>
      </w:pPr>
      <w:r>
        <w:rPr>
          <w:rFonts w:ascii="Times New Roman" w:hAnsi="Times New Roman" w:cs="Times New Roman"/>
          <w:sz w:val="20"/>
          <w:szCs w:val="24"/>
        </w:rPr>
        <w:t xml:space="preserve">29.</w:t>
      </w:r>
      <w:r>
        <w:rPr>
          <w:rFonts w:ascii="Times New Roman" w:hAnsi="Times New Roman" w:cs="Times New Roman"/>
          <w:sz w:val="20"/>
          <w:szCs w:val="24"/>
        </w:rPr>
        <w:tab/>
        <w:t xml:space="preserve">Wang, W., Tadé, M. O. &amp; Shao, Z. Nitrogen-doped simple and complex oxides for photocatalysis: A review. </w:t>
      </w:r>
      <w:r>
        <w:rPr>
          <w:rFonts w:ascii="Times New Roman" w:hAnsi="Times New Roman" w:cs="Times New Roman"/>
          <w:i/>
          <w:iCs/>
          <w:sz w:val="20"/>
          <w:szCs w:val="24"/>
        </w:rPr>
        <w:t xml:space="preserve">Prog. Mater. Sci.</w:t>
      </w:r>
      <w:r>
        <w:rPr>
          <w:rFonts w:ascii="Times New Roman" w:hAnsi="Times New Roman" w:cs="Times New Roman"/>
          <w:sz w:val="20"/>
          <w:szCs w:val="24"/>
        </w:rPr>
        <w:t xml:space="preserve"> </w:t>
      </w:r>
      <w:r>
        <w:rPr>
          <w:rFonts w:ascii="Times New Roman" w:hAnsi="Times New Roman" w:cs="Times New Roman"/>
          <w:b/>
          <w:bCs/>
          <w:sz w:val="20"/>
          <w:szCs w:val="24"/>
        </w:rPr>
        <w:t xml:space="preserve">92</w:t>
      </w:r>
      <w:r>
        <w:rPr>
          <w:rFonts w:ascii="Times New Roman" w:hAnsi="Times New Roman" w:cs="Times New Roman"/>
          <w:sz w:val="20"/>
          <w:szCs w:val="24"/>
        </w:rPr>
        <w:t xml:space="preserve">, 33–63 (2018).</w:t>
      </w:r>
      <w:r/>
    </w:p>
    <w:p>
      <w:pPr>
        <w:ind w:left="640" w:hanging="640"/>
        <w:jc w:val="both"/>
        <w:spacing w:lineRule="exact" w:line="240" w:after="160"/>
        <w:rPr>
          <w:rFonts w:ascii="Times New Roman" w:hAnsi="Times New Roman" w:cs="Times New Roman"/>
          <w:sz w:val="20"/>
          <w:szCs w:val="24"/>
        </w:rPr>
      </w:pPr>
      <w:r>
        <w:rPr>
          <w:rFonts w:ascii="Times New Roman" w:hAnsi="Times New Roman" w:cs="Times New Roman"/>
          <w:sz w:val="20"/>
          <w:szCs w:val="24"/>
        </w:rPr>
        <w:t xml:space="preserve">30.</w:t>
      </w:r>
      <w:r>
        <w:rPr>
          <w:rFonts w:ascii="Times New Roman" w:hAnsi="Times New Roman" w:cs="Times New Roman"/>
          <w:sz w:val="20"/>
          <w:szCs w:val="24"/>
        </w:rPr>
        <w:tab/>
        <w:t xml:space="preserve">Pan, L. </w:t>
      </w:r>
      <w:r>
        <w:rPr>
          <w:rFonts w:ascii="Times New Roman" w:hAnsi="Times New Roman" w:cs="Times New Roman"/>
          <w:i/>
          <w:iCs/>
          <w:sz w:val="20"/>
          <w:szCs w:val="24"/>
        </w:rPr>
        <w:t xml:space="preserve">et al.</w:t>
      </w:r>
      <w:r>
        <w:rPr>
          <w:rFonts w:ascii="Times New Roman" w:hAnsi="Times New Roman" w:cs="Times New Roman"/>
          <w:sz w:val="20"/>
          <w:szCs w:val="24"/>
        </w:rPr>
        <w:t xml:space="preserve"> Manipulating spin polarization of titanium dioxide for efficient photocatalysis. </w:t>
      </w:r>
      <w:r>
        <w:rPr>
          <w:rFonts w:ascii="Times New Roman" w:hAnsi="Times New Roman" w:cs="Times New Roman"/>
          <w:i/>
          <w:iCs/>
          <w:sz w:val="20"/>
          <w:szCs w:val="24"/>
        </w:rPr>
        <w:t xml:space="preserve">Nat. Commun.</w:t>
      </w:r>
      <w:r>
        <w:rPr>
          <w:rFonts w:ascii="Times New Roman" w:hAnsi="Times New Roman" w:cs="Times New Roman"/>
          <w:sz w:val="20"/>
          <w:szCs w:val="24"/>
        </w:rPr>
        <w:t xml:space="preserve"> </w:t>
      </w:r>
      <w:r>
        <w:rPr>
          <w:rFonts w:ascii="Times New Roman" w:hAnsi="Times New Roman" w:cs="Times New Roman"/>
          <w:b/>
          <w:bCs/>
          <w:sz w:val="20"/>
          <w:szCs w:val="24"/>
        </w:rPr>
        <w:t xml:space="preserve">11</w:t>
      </w:r>
      <w:r>
        <w:rPr>
          <w:rFonts w:ascii="Times New Roman" w:hAnsi="Times New Roman" w:cs="Times New Roman"/>
          <w:sz w:val="20"/>
          <w:szCs w:val="24"/>
        </w:rPr>
        <w:t xml:space="preserve">, 418 (2020).</w:t>
      </w:r>
      <w:r/>
    </w:p>
    <w:p>
      <w:pPr>
        <w:ind w:left="640" w:hanging="640"/>
        <w:jc w:val="both"/>
        <w:spacing w:lineRule="exact" w:line="240" w:after="160"/>
        <w:rPr>
          <w:rFonts w:ascii="Times New Roman" w:hAnsi="Times New Roman" w:cs="Times New Roman"/>
          <w:sz w:val="20"/>
        </w:rPr>
      </w:pPr>
      <w:r>
        <w:rPr>
          <w:rFonts w:ascii="Times New Roman" w:hAnsi="Times New Roman" w:cs="Times New Roman"/>
          <w:sz w:val="20"/>
          <w:szCs w:val="24"/>
        </w:rPr>
        <w:t xml:space="preserve">31.</w:t>
      </w:r>
      <w:r>
        <w:rPr>
          <w:rFonts w:ascii="Times New Roman" w:hAnsi="Times New Roman" w:cs="Times New Roman"/>
          <w:sz w:val="20"/>
          <w:szCs w:val="24"/>
        </w:rPr>
        <w:tab/>
        <w:t xml:space="preserve">Wang, Z., Li, C. &amp; Domen, K. Recent developments in heterogeneous photocatalysts for solar-driven overall water splitting. </w:t>
      </w:r>
      <w:r>
        <w:rPr>
          <w:rFonts w:ascii="Times New Roman" w:hAnsi="Times New Roman" w:cs="Times New Roman"/>
          <w:i/>
          <w:iCs/>
          <w:sz w:val="20"/>
          <w:szCs w:val="24"/>
        </w:rPr>
        <w:t xml:space="preserve">Chem. Soc. Rev.</w:t>
      </w:r>
      <w:r>
        <w:rPr>
          <w:rFonts w:ascii="Times New Roman" w:hAnsi="Times New Roman" w:cs="Times New Roman"/>
          <w:sz w:val="20"/>
          <w:szCs w:val="24"/>
        </w:rPr>
        <w:t xml:space="preserve"> </w:t>
      </w:r>
      <w:r>
        <w:rPr>
          <w:rFonts w:ascii="Times New Roman" w:hAnsi="Times New Roman" w:cs="Times New Roman"/>
          <w:b/>
          <w:bCs/>
          <w:sz w:val="20"/>
          <w:szCs w:val="24"/>
        </w:rPr>
        <w:t xml:space="preserve">48</w:t>
      </w:r>
      <w:r>
        <w:rPr>
          <w:rFonts w:ascii="Times New Roman" w:hAnsi="Times New Roman" w:cs="Times New Roman"/>
          <w:sz w:val="20"/>
          <w:szCs w:val="24"/>
        </w:rPr>
        <w:t xml:space="preserve">, 2109–2125 (2019).</w:t>
      </w:r>
      <w:r/>
    </w:p>
    <w:p>
      <w:pPr>
        <w:contextualSpacing w:val="true"/>
        <w:jc w:val="both"/>
        <w:spacing w:lineRule="exact" w:line="400" w:after="156"/>
        <w:widowControl w:val="off"/>
        <w:rPr>
          <w:sz w:val="21"/>
          <w:szCs w:val="21"/>
        </w:rPr>
      </w:pPr>
      <w:r>
        <w:rPr>
          <w:rFonts w:ascii="Times New Roman" w:hAnsi="Times New Roman" w:cs="Times New Roman"/>
          <w:sz w:val="21"/>
          <w:szCs w:val="21"/>
        </w:rPr>
        <w:fldChar w:fldCharType="end"/>
      </w:r>
      <w:r/>
    </w:p>
    <w:p>
      <w:pPr>
        <w:spacing w:lineRule="exact" w:line="400" w:after="50"/>
        <w:rPr>
          <w:rFonts w:ascii="Times New Roman" w:hAnsi="Times New Roman" w:cs="Times New Roman"/>
          <w:b/>
          <w:sz w:val="21"/>
          <w:szCs w:val="21"/>
        </w:rPr>
      </w:pPr>
      <w:r>
        <w:rPr>
          <w:rFonts w:ascii="Times New Roman" w:hAnsi="Times New Roman" w:cs="Times New Roman"/>
          <w:b/>
          <w:sz w:val="21"/>
          <w:szCs w:val="21"/>
        </w:rPr>
        <w:t xml:space="preserve">Acknowledgments:</w:t>
      </w:r>
      <w:r/>
    </w:p>
    <w:p>
      <w:pPr>
        <w:spacing w:lineRule="exact" w:line="400" w:after="50"/>
        <w:rPr>
          <w:rFonts w:ascii="Times New Roman" w:hAnsi="Times New Roman" w:cs="Times New Roman" w:eastAsia="FangSong"/>
          <w:color w:val="000000"/>
          <w:sz w:val="21"/>
          <w:szCs w:val="21"/>
        </w:rPr>
      </w:pPr>
      <w:r>
        <w:rPr>
          <w:rFonts w:ascii="Times New Roman" w:hAnsi="Times New Roman" w:cs="Times New Roman" w:eastAsia="FangSong"/>
          <w:color w:val="000000"/>
          <w:sz w:val="21"/>
          <w:szCs w:val="21"/>
        </w:rPr>
        <w:t xml:space="preserve">The </w:t>
      </w:r>
      <w:r>
        <w:rPr>
          <w:rFonts w:ascii="Times New Roman" w:hAnsi="Times New Roman" w:cs="Times New Roman" w:eastAsia="FangSong"/>
          <w:color w:val="000000"/>
          <w:sz w:val="21"/>
          <w:szCs w:val="21"/>
        </w:rPr>
        <w:t xml:space="preserve">financial </w:t>
      </w:r>
      <w:r>
        <w:rPr>
          <w:rFonts w:ascii="Times New Roman" w:hAnsi="Times New Roman" w:cs="Times New Roman" w:eastAsia="FangSong"/>
          <w:color w:val="000000"/>
          <w:sz w:val="21"/>
          <w:szCs w:val="21"/>
        </w:rPr>
        <w:t xml:space="preserve">support for this project from the EPSRC in the United Kingdom (Grant EP/K040375</w:t>
      </w:r>
      <w:r>
        <w:rPr>
          <w:rFonts w:ascii="Times New Roman" w:hAnsi="Times New Roman" w:cs="Times New Roman" w:eastAsia="FangSong"/>
          <w:color w:val="000000"/>
          <w:sz w:val="21"/>
          <w:szCs w:val="21"/>
        </w:rPr>
        <w:t xml:space="preserve">/1) </w:t>
      </w:r>
      <w:r>
        <w:rPr>
          <w:rFonts w:ascii="Times New Roman" w:hAnsi="Times New Roman" w:cs="Times New Roman" w:eastAsia="FangSong" w:hint="eastAsia"/>
          <w:color w:val="000000"/>
          <w:sz w:val="21"/>
          <w:szCs w:val="21"/>
        </w:rPr>
        <w:t xml:space="preserve">and the </w:t>
      </w:r>
      <w:r>
        <w:rPr>
          <w:rFonts w:ascii="Times New Roman" w:hAnsi="Times New Roman" w:cs="Times New Roman" w:eastAsia="FangSong"/>
          <w:color w:val="000000"/>
          <w:sz w:val="21"/>
          <w:szCs w:val="21"/>
        </w:rPr>
        <w:t xml:space="preserve">Zhejiang University Education Foundation Global Partnership Fund</w:t>
      </w:r>
      <w:r>
        <w:rPr>
          <w:rFonts w:ascii="Times New Roman" w:hAnsi="Times New Roman" w:cs="Times New Roman" w:eastAsia="FangSong"/>
          <w:color w:val="000000"/>
          <w:sz w:val="21"/>
          <w:szCs w:val="21"/>
        </w:rPr>
        <w:t xml:space="preserve"> are kindly acknowledged</w:t>
      </w:r>
      <w:r>
        <w:rPr>
          <w:rFonts w:ascii="Times New Roman" w:hAnsi="Times New Roman" w:cs="Times New Roman" w:eastAsia="FangSong"/>
          <w:color w:val="000000"/>
          <w:sz w:val="21"/>
          <w:szCs w:val="21"/>
        </w:rPr>
        <w:t xml:space="preserve">.</w:t>
      </w:r>
      <w:r/>
    </w:p>
    <w:p>
      <w:pPr>
        <w:spacing w:lineRule="exact" w:line="400" w:after="50"/>
        <w:rPr>
          <w:rFonts w:ascii="Times New Roman" w:hAnsi="Times New Roman" w:cs="Times New Roman"/>
          <w:b/>
          <w:sz w:val="21"/>
          <w:szCs w:val="21"/>
        </w:rPr>
      </w:pPr>
      <w:r>
        <w:rPr>
          <w:rFonts w:ascii="Times New Roman" w:hAnsi="Times New Roman" w:cs="Times New Roman"/>
          <w:b/>
          <w:sz w:val="21"/>
          <w:szCs w:val="21"/>
        </w:rPr>
      </w:r>
      <w:r/>
    </w:p>
    <w:p>
      <w:pPr>
        <w:spacing w:lineRule="exact" w:line="400" w:after="50"/>
        <w:rPr>
          <w:rFonts w:ascii="Times New Roman" w:hAnsi="Times New Roman" w:cs="Times New Roman"/>
          <w:sz w:val="21"/>
          <w:szCs w:val="21"/>
        </w:rPr>
      </w:pPr>
      <w:r>
        <w:rPr>
          <w:rFonts w:ascii="Times New Roman" w:hAnsi="Times New Roman" w:cs="Times New Roman"/>
          <w:b/>
          <w:sz w:val="21"/>
          <w:szCs w:val="21"/>
        </w:rPr>
        <w:t xml:space="preserve">Authors’ contributions</w:t>
      </w:r>
      <w:r>
        <w:rPr>
          <w:rFonts w:ascii="Times New Roman" w:hAnsi="Times New Roman" w:cs="Times New Roman"/>
          <w:sz w:val="21"/>
          <w:szCs w:val="21"/>
        </w:rPr>
        <w:t xml:space="preserve">: </w:t>
      </w:r>
      <w:r/>
    </w:p>
    <w:p>
      <w:pPr>
        <w:jc w:val="both"/>
        <w:spacing w:lineRule="exact" w:line="400" w:after="50"/>
        <w:rPr>
          <w:rFonts w:ascii="Times New Roman" w:hAnsi="Times New Roman" w:cs="Times New Roman"/>
          <w:sz w:val="21"/>
          <w:szCs w:val="21"/>
        </w:rPr>
      </w:pPr>
      <w:r>
        <w:rPr>
          <w:rFonts w:ascii="Times New Roman" w:hAnsi="Times New Roman" w:cs="Times New Roman"/>
          <w:sz w:val="21"/>
          <w:szCs w:val="21"/>
        </w:rPr>
        <w:t xml:space="preserve">Y.L. </w:t>
      </w:r>
      <w:r>
        <w:rPr>
          <w:rFonts w:ascii="Times New Roman" w:hAnsi="Times New Roman" w:cs="Times New Roman"/>
          <w:sz w:val="21"/>
          <w:szCs w:val="21"/>
        </w:rPr>
        <w:t xml:space="preserve">and C.F. </w:t>
      </w:r>
      <w:r>
        <w:rPr>
          <w:rFonts w:ascii="Times New Roman" w:hAnsi="Times New Roman" w:cs="Times New Roman"/>
          <w:sz w:val="21"/>
          <w:szCs w:val="21"/>
        </w:rPr>
        <w:t xml:space="preserve">prepared</w:t>
      </w:r>
      <w:r>
        <w:rPr>
          <w:rFonts w:ascii="Times New Roman" w:hAnsi="Times New Roman" w:cs="Times New Roman"/>
          <w:sz w:val="21"/>
          <w:szCs w:val="21"/>
        </w:rPr>
        <w:t xml:space="preserve">,</w:t>
      </w:r>
      <w:r>
        <w:rPr>
          <w:rFonts w:ascii="Times New Roman" w:hAnsi="Times New Roman" w:cs="Times New Roman"/>
          <w:sz w:val="21"/>
          <w:szCs w:val="21"/>
        </w:rPr>
        <w:t xml:space="preserve"> </w:t>
      </w:r>
      <w:r>
        <w:rPr>
          <w:rFonts w:ascii="Times New Roman" w:hAnsi="Times New Roman" w:cs="Times New Roman"/>
          <w:sz w:val="21"/>
          <w:szCs w:val="21"/>
        </w:rPr>
        <w:t xml:space="preserve">characterised </w:t>
      </w:r>
      <w:r>
        <w:rPr>
          <w:rFonts w:ascii="Times New Roman" w:hAnsi="Times New Roman" w:cs="Times New Roman"/>
          <w:sz w:val="21"/>
          <w:szCs w:val="21"/>
        </w:rPr>
        <w:t xml:space="preserve">and tested the photocatalysts</w:t>
      </w:r>
      <w:r>
        <w:rPr>
          <w:rFonts w:ascii="Times New Roman" w:hAnsi="Times New Roman" w:cs="Times New Roman"/>
          <w:sz w:val="21"/>
          <w:szCs w:val="21"/>
        </w:rPr>
        <w:t xml:space="preserve">;</w:t>
      </w:r>
      <w:r>
        <w:rPr>
          <w:rFonts w:ascii="Times New Roman" w:hAnsi="Times New Roman" w:cs="Times New Roman"/>
          <w:sz w:val="21"/>
          <w:szCs w:val="21"/>
        </w:rPr>
        <w:t xml:space="preserve"> Y.L., C.W. and Z.W. </w:t>
      </w:r>
      <w:r>
        <w:rPr>
          <w:rFonts w:ascii="Times New Roman" w:hAnsi="Times New Roman" w:cs="Times New Roman"/>
          <w:sz w:val="21"/>
          <w:szCs w:val="21"/>
        </w:rPr>
        <w:t xml:space="preserve">A.K. R.D.B. </w:t>
      </w:r>
      <w:r>
        <w:rPr>
          <w:rFonts w:ascii="Times New Roman" w:hAnsi="Times New Roman" w:cs="Times New Roman"/>
          <w:sz w:val="21"/>
          <w:szCs w:val="21"/>
        </w:rPr>
        <w:t xml:space="preserve">studied the magnetic properties </w:t>
      </w:r>
      <w:r>
        <w:rPr>
          <w:rFonts w:ascii="Times New Roman" w:hAnsi="Times New Roman" w:cs="Times New Roman"/>
          <w:sz w:val="21"/>
          <w:szCs w:val="21"/>
        </w:rPr>
        <w:t xml:space="preserve">of </w:t>
      </w:r>
      <w:r>
        <w:rPr>
          <w:rFonts w:ascii="Times New Roman" w:hAnsi="Times New Roman" w:cs="Times New Roman"/>
          <w:sz w:val="21"/>
          <w:szCs w:val="21"/>
        </w:rPr>
        <w:t xml:space="preserve">the materials</w:t>
      </w:r>
      <w:r>
        <w:rPr>
          <w:rFonts w:ascii="Times New Roman" w:hAnsi="Times New Roman" w:cs="Times New Roman"/>
          <w:sz w:val="21"/>
          <w:szCs w:val="21"/>
        </w:rPr>
        <w:t xml:space="preserve">; </w:t>
      </w:r>
      <w:r>
        <w:rPr>
          <w:rFonts w:ascii="Times New Roman" w:hAnsi="Times New Roman" w:cs="Times New Roman"/>
          <w:sz w:val="21"/>
          <w:szCs w:val="21"/>
        </w:rPr>
        <w:t xml:space="preserve">Y.L. collected and analysed the TRPL data with the help of R.A.T.</w:t>
      </w:r>
      <w:r>
        <w:rPr>
          <w:rFonts w:ascii="Times New Roman" w:hAnsi="Times New Roman" w:cs="Times New Roman"/>
          <w:sz w:val="21"/>
          <w:szCs w:val="21"/>
        </w:rPr>
        <w:t xml:space="preserve">;</w:t>
      </w:r>
      <w:r>
        <w:rPr>
          <w:rFonts w:ascii="Times New Roman" w:hAnsi="Times New Roman" w:cs="Times New Roman"/>
          <w:sz w:val="21"/>
          <w:szCs w:val="21"/>
        </w:rPr>
        <w:t xml:space="preserve"> Y.L. and S.C.E.T. wrote the paper in discussion with C.W.</w:t>
      </w:r>
      <w:r>
        <w:rPr>
          <w:rFonts w:ascii="Times New Roman" w:hAnsi="Times New Roman" w:cs="Times New Roman"/>
          <w:sz w:val="21"/>
          <w:szCs w:val="21"/>
        </w:rPr>
        <w:t xml:space="preserve">; </w:t>
      </w:r>
      <w:r>
        <w:rPr>
          <w:rFonts w:ascii="Times New Roman" w:hAnsi="Times New Roman" w:cs="Times New Roman"/>
          <w:sz w:val="21"/>
          <w:szCs w:val="21"/>
        </w:rPr>
        <w:t xml:space="preserve">S.C.E.T. supervised the overall project.</w:t>
      </w:r>
      <w:r/>
    </w:p>
    <w:p>
      <w:pPr>
        <w:spacing w:lineRule="exact" w:line="400" w:after="50"/>
        <w:rPr>
          <w:rFonts w:ascii="Times New Roman" w:hAnsi="Times New Roman" w:cs="Times New Roman"/>
          <w:b/>
          <w:bCs/>
          <w:sz w:val="21"/>
          <w:szCs w:val="21"/>
        </w:rPr>
      </w:pPr>
      <w:r>
        <w:rPr>
          <w:rFonts w:ascii="Times New Roman" w:hAnsi="Times New Roman" w:cs="Times New Roman"/>
          <w:b/>
          <w:bCs/>
          <w:sz w:val="21"/>
          <w:szCs w:val="21"/>
        </w:rPr>
      </w:r>
      <w:r/>
    </w:p>
    <w:p>
      <w:pPr>
        <w:spacing w:lineRule="exact" w:line="400" w:after="50"/>
        <w:rPr>
          <w:rFonts w:ascii="Times New Roman" w:hAnsi="Times New Roman" w:cs="Times New Roman"/>
          <w:b/>
          <w:bCs/>
          <w:sz w:val="21"/>
          <w:szCs w:val="21"/>
        </w:rPr>
      </w:pPr>
      <w:r>
        <w:rPr>
          <w:rFonts w:ascii="Times New Roman" w:hAnsi="Times New Roman" w:cs="Times New Roman" w:hint="eastAsia"/>
          <w:b/>
          <w:bCs/>
          <w:sz w:val="21"/>
          <w:szCs w:val="21"/>
        </w:rPr>
        <w:t xml:space="preserve">C</w:t>
      </w:r>
      <w:r>
        <w:rPr>
          <w:rFonts w:ascii="Times New Roman" w:hAnsi="Times New Roman" w:cs="Times New Roman"/>
          <w:b/>
          <w:bCs/>
          <w:sz w:val="21"/>
          <w:szCs w:val="21"/>
        </w:rPr>
        <w:t xml:space="preserve">onflict of interest:</w:t>
      </w:r>
      <w:r/>
    </w:p>
    <w:p>
      <w:pPr>
        <w:spacing w:lineRule="exact" w:line="400" w:after="50"/>
        <w:rPr>
          <w:rFonts w:ascii="Times New Roman" w:hAnsi="Times New Roman" w:cs="Times New Roman"/>
          <w:sz w:val="21"/>
          <w:szCs w:val="21"/>
        </w:rPr>
      </w:pPr>
      <w:r>
        <w:rPr>
          <w:rFonts w:ascii="Times New Roman" w:hAnsi="Times New Roman" w:cs="Times New Roman" w:hint="eastAsia"/>
          <w:sz w:val="21"/>
          <w:szCs w:val="21"/>
        </w:rPr>
        <w:t xml:space="preserve">T</w:t>
      </w:r>
      <w:r>
        <w:rPr>
          <w:rFonts w:ascii="Times New Roman" w:hAnsi="Times New Roman" w:cs="Times New Roman"/>
          <w:sz w:val="21"/>
          <w:szCs w:val="21"/>
        </w:rPr>
        <w:t xml:space="preserve">he authors claim no conflict of interest.</w:t>
      </w:r>
      <w:r/>
    </w:p>
    <w:p>
      <w:pPr>
        <w:jc w:val="both"/>
        <w:spacing w:lineRule="exact" w:line="400" w:after="156"/>
        <w:rPr>
          <w:rFonts w:ascii="Times New Roman" w:hAnsi="Times New Roman" w:cs="Times New Roman"/>
          <w:color w:val="00B0F0"/>
          <w:sz w:val="21"/>
          <w:szCs w:val="21"/>
        </w:rPr>
      </w:pPr>
      <w:r>
        <w:rPr>
          <w:rFonts w:ascii="Times New Roman" w:hAnsi="Times New Roman" w:cs="Times New Roman"/>
          <w:color w:val="00B0F0"/>
          <w:sz w:val="21"/>
          <w:szCs w:val="21"/>
        </w:rPr>
      </w:r>
      <w:r/>
    </w:p>
    <w:sectPr>
      <w:footnotePr/>
      <w:endnotePr/>
      <w:type w:val="nextPage"/>
      <w:pgSz w:w="11906" w:h="16838" w:orient="portrait"/>
      <w:pgMar w:top="1418" w:right="1418" w:bottom="1418" w:left="1418" w:header="851" w:footer="992" w:gutter="0"/>
      <w:cols w:num="1" w:sep="0" w:space="425"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lineRule="auto" w:line="240" w:after="0"/>
      </w:pPr>
      <w:r>
        <w:separator/>
      </w:r>
      <w:r/>
    </w:p>
  </w:endnote>
  <w:endnote w:type="continuationSeparator" w:id="0">
    <w:p>
      <w:pPr>
        <w:spacing w:lineRule="auto" w:line="240" w:after="0"/>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angSong">
    <w:panose1 w:val="02020603020101020101"/>
  </w:font>
  <w:font w:name="Cambria Math">
    <w:panose1 w:val="02000603000000000000"/>
  </w:font>
  <w:font w:name="Times New Roman">
    <w:panose1 w:val="02020603050405020304"/>
  </w:font>
  <w:font w:name="Arial">
    <w:panose1 w:val="020B0604020202020204"/>
  </w:font>
  <w:font w:name="Calibri">
    <w:panose1 w:val="020F0502020204030204"/>
  </w:font>
  <w:font w:name="Cambria">
    <w:panose1 w:val="020206030504050203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lineRule="auto" w:line="240" w:after="0"/>
      </w:pPr>
      <w:r>
        <w:separator/>
      </w:r>
      <w:r/>
    </w:p>
  </w:footnote>
  <w:footnote w:type="continuationSeparator" w:id="0">
    <w:p>
      <w:pPr>
        <w:spacing w:lineRule="auto" w:line="240" w:after="0"/>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420" w:hanging="420"/>
      </w:pPr>
      <w:rPr>
        <w:rFonts w:ascii="Times New Roman" w:hAnsi="Times New Roman" w:cs="Times New Roman" w:eastAsiaTheme="minorEastAsia"/>
      </w:rPr>
    </w:lvl>
    <w:lvl w:ilvl="1">
      <w:start w:val="1"/>
      <w:numFmt w:val="lowerLetter"/>
      <w:isLgl w:val="false"/>
      <w:suff w:val="tab"/>
      <w:lvlText w:val="%2)"/>
      <w:lvlJc w:val="left"/>
      <w:pPr>
        <w:ind w:left="840" w:hanging="420"/>
      </w:pPr>
    </w:lvl>
    <w:lvl w:ilvl="2">
      <w:start w:val="1"/>
      <w:numFmt w:val="lowerRoman"/>
      <w:isLgl w:val="false"/>
      <w:suff w:val="tab"/>
      <w:lvlText w:val="%3."/>
      <w:lvlJc w:val="right"/>
      <w:pPr>
        <w:ind w:left="1260" w:hanging="420"/>
      </w:pPr>
    </w:lvl>
    <w:lvl w:ilvl="3">
      <w:start w:val="1"/>
      <w:numFmt w:val="decimal"/>
      <w:isLgl w:val="false"/>
      <w:suff w:val="tab"/>
      <w:lvlText w:val="%4."/>
      <w:lvlJc w:val="left"/>
      <w:pPr>
        <w:ind w:left="1680" w:hanging="420"/>
      </w:pPr>
    </w:lvl>
    <w:lvl w:ilvl="4">
      <w:start w:val="1"/>
      <w:numFmt w:val="lowerLetter"/>
      <w:isLgl w:val="false"/>
      <w:suff w:val="tab"/>
      <w:lvlText w:val="%5)"/>
      <w:lvlJc w:val="left"/>
      <w:pPr>
        <w:ind w:left="2100" w:hanging="420"/>
      </w:pPr>
    </w:lvl>
    <w:lvl w:ilvl="5">
      <w:start w:val="1"/>
      <w:numFmt w:val="lowerRoman"/>
      <w:isLgl w:val="false"/>
      <w:suff w:val="tab"/>
      <w:lvlText w:val="%6."/>
      <w:lvlJc w:val="right"/>
      <w:pPr>
        <w:ind w:left="2520" w:hanging="420"/>
      </w:pPr>
    </w:lvl>
    <w:lvl w:ilvl="6">
      <w:start w:val="1"/>
      <w:numFmt w:val="decimal"/>
      <w:isLgl w:val="false"/>
      <w:suff w:val="tab"/>
      <w:lvlText w:val="%7."/>
      <w:lvlJc w:val="left"/>
      <w:pPr>
        <w:ind w:left="2940" w:hanging="420"/>
      </w:pPr>
    </w:lvl>
    <w:lvl w:ilvl="7">
      <w:start w:val="1"/>
      <w:numFmt w:val="lowerLetter"/>
      <w:isLgl w:val="false"/>
      <w:suff w:val="tab"/>
      <w:lvlText w:val="%8)"/>
      <w:lvlJc w:val="left"/>
      <w:pPr>
        <w:ind w:left="3360" w:hanging="420"/>
      </w:pPr>
    </w:lvl>
    <w:lvl w:ilvl="8">
      <w:start w:val="1"/>
      <w:numFmt w:val="lowerRoman"/>
      <w:isLgl w:val="false"/>
      <w:suff w:val="tab"/>
      <w:lvlText w:val="%9."/>
      <w:lvlJc w:val="right"/>
      <w:pPr>
        <w:ind w:left="3780" w:hanging="420"/>
      </w:pPr>
    </w:lvl>
  </w:abstractNum>
  <w:abstractNum w:abstractNumId="1">
    <w:multiLevelType w:val="hybridMultilevel"/>
    <w:lvl w:ilvl="0">
      <w:start w:val="1"/>
      <w:numFmt w:val="decimal"/>
      <w:isLgl w:val="false"/>
      <w:suff w:val="tab"/>
      <w:lvlText w:val="%1."/>
      <w:lvlJc w:val="left"/>
      <w:pPr>
        <w:ind w:left="720" w:hanging="360"/>
      </w:pPr>
      <w:rPr>
        <w:rFonts w:ascii="Times New Roman" w:hAnsi="Times New Roman" w:cs="Times New Roman" w:eastAsiaTheme="minorEastAsia"/>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840" w:hanging="420"/>
      </w:pPr>
    </w:lvl>
    <w:lvl w:ilvl="2">
      <w:start w:val="1"/>
      <w:numFmt w:val="lowerRoman"/>
      <w:isLgl w:val="false"/>
      <w:suff w:val="tab"/>
      <w:lvlText w:val="%3."/>
      <w:lvlJc w:val="right"/>
      <w:pPr>
        <w:ind w:left="1260" w:hanging="420"/>
      </w:pPr>
    </w:lvl>
    <w:lvl w:ilvl="3">
      <w:start w:val="1"/>
      <w:numFmt w:val="decimal"/>
      <w:isLgl w:val="false"/>
      <w:suff w:val="tab"/>
      <w:lvlText w:val="%4."/>
      <w:lvlJc w:val="left"/>
      <w:pPr>
        <w:ind w:left="1680" w:hanging="420"/>
      </w:pPr>
    </w:lvl>
    <w:lvl w:ilvl="4">
      <w:start w:val="1"/>
      <w:numFmt w:val="lowerLetter"/>
      <w:isLgl w:val="false"/>
      <w:suff w:val="tab"/>
      <w:lvlText w:val="%5)"/>
      <w:lvlJc w:val="left"/>
      <w:pPr>
        <w:ind w:left="2100" w:hanging="420"/>
      </w:pPr>
    </w:lvl>
    <w:lvl w:ilvl="5">
      <w:start w:val="1"/>
      <w:numFmt w:val="lowerRoman"/>
      <w:isLgl w:val="false"/>
      <w:suff w:val="tab"/>
      <w:lvlText w:val="%6."/>
      <w:lvlJc w:val="right"/>
      <w:pPr>
        <w:ind w:left="2520" w:hanging="420"/>
      </w:pPr>
    </w:lvl>
    <w:lvl w:ilvl="6">
      <w:start w:val="1"/>
      <w:numFmt w:val="decimal"/>
      <w:isLgl w:val="false"/>
      <w:suff w:val="tab"/>
      <w:lvlText w:val="%7."/>
      <w:lvlJc w:val="left"/>
      <w:pPr>
        <w:ind w:left="2940" w:hanging="420"/>
      </w:pPr>
    </w:lvl>
    <w:lvl w:ilvl="7">
      <w:start w:val="1"/>
      <w:numFmt w:val="lowerLetter"/>
      <w:isLgl w:val="false"/>
      <w:suff w:val="tab"/>
      <w:lvlText w:val="%8)"/>
      <w:lvlJc w:val="left"/>
      <w:pPr>
        <w:ind w:left="3360" w:hanging="420"/>
      </w:pPr>
    </w:lvl>
    <w:lvl w:ilvl="8">
      <w:start w:val="1"/>
      <w:numFmt w:val="lowerRoman"/>
      <w:isLgl w:val="false"/>
      <w:suff w:val="tab"/>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w="http://schemas.openxmlformats.org/wordprocessingml/2006/main" xmlns:m="http://schemas.openxmlformats.org/officeDocument/2006/math" xmlns:o="urn:schemas-microsoft-com:office:office" xmlns:v="urn:schemas-microsoft-com:vml">
  <w:clrSchemeMapping w:accent1="accent1" w:accent2="accent2" w:accent3="accent3" w:accent4="accent4" w:accent5="accent5" w:accent6="accent6" w:bg1="light1" w:bg2="light2" w:followedHyperlink="followedHyperlink" w:hyperlink="hyperlink" w:t1="dark1" w:t2="dark2"/>
  <w:defaultTabStop w:val="720"/>
  <m:mathPr>
    <m:brkBin m:val="before"/>
    <m:defJc m:val="centerGroup"/>
    <m:intLim m:val="subSup"/>
    <m:lMargin m:val="0"/>
    <m:mathFont m:val="Cambria Math"/>
    <m:naryLim m:val="undOvr"/>
    <m:rMargin m:val="0"/>
    <m:smallFrac m:val="on"/>
    <m:wrapIndent m:val="1440"/>
  </m:mathPr>
  <w:trackRevisions w:val="false"/>
  <w:footnotePr>
    <w:footnote w:id="-1"/>
    <w:footnote w:id="0"/>
    <w:numFmt w:val="decimal"/>
    <w:numRestart w:val="continuous"/>
    <w:numStart w:val="1"/>
    <w:pos w:val="pageBottom"/>
  </w:footnotePr>
  <w:endnotePr>
    <w:endnote w:id="-1"/>
    <w:endnote w:id="0"/>
    <w:numFmt w:val="lowerRoman"/>
    <w:numRestart w:val="continuous"/>
    <w:numStart w:val="1"/>
    <w:pos w:val="docEnd"/>
  </w:endnotePr>
  <w:decimalSymbol w:val="."/>
  <w:listSeparator w:va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zoom w:percent="100"/>
  <w:characterSpacingControl w:val="doNotCompress"/>
  <w:themeFontLang w:val="en-US" w:eastAsia="zh-CN"/>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EastAsia" w:cstheme="minorBidi" w:hint="default"/>
        <w:sz w:val="22"/>
        <w:szCs w:val="22"/>
        <w:lang w:val="en-GB" w:bidi="ar-SA" w:eastAsia="zh-CN"/>
      </w:rPr>
    </w:rPrDefault>
    <w:pPrDefault>
      <w:pPr>
        <w:spacing w:lineRule="auto" w:line="276" w:after="200" w:afterAutospacing="0" w:before="0" w:beforeAutospacing="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11">
    <w:name w:val="Heading 1"/>
    <w:basedOn w:val="640"/>
    <w:next w:val="640"/>
    <w:link w:val="12"/>
    <w:qFormat/>
    <w:uiPriority w:val="9"/>
    <w:rPr>
      <w:rFonts w:ascii="Arial" w:hAnsi="Arial" w:cs="Arial" w:eastAsia="Arial"/>
      <w:sz w:val="40"/>
      <w:szCs w:val="40"/>
    </w:rPr>
    <w:pPr>
      <w:keepLines/>
      <w:keepNext/>
      <w:spacing w:after="200" w:before="480"/>
      <w:outlineLvl w:val="0"/>
    </w:pPr>
  </w:style>
  <w:style w:type="character" w:styleId="12">
    <w:name w:val="Heading 1 Char"/>
    <w:basedOn w:val="641"/>
    <w:link w:val="11"/>
    <w:uiPriority w:val="9"/>
    <w:rPr>
      <w:rFonts w:ascii="Arial" w:hAnsi="Arial" w:cs="Arial" w:eastAsia="Arial"/>
      <w:sz w:val="40"/>
      <w:szCs w:val="40"/>
    </w:rPr>
  </w:style>
  <w:style w:type="paragraph" w:styleId="13">
    <w:name w:val="Heading 2"/>
    <w:basedOn w:val="640"/>
    <w:next w:val="640"/>
    <w:link w:val="14"/>
    <w:qFormat/>
    <w:uiPriority w:val="9"/>
    <w:unhideWhenUsed/>
    <w:rPr>
      <w:rFonts w:ascii="Arial" w:hAnsi="Arial" w:cs="Arial" w:eastAsia="Arial"/>
      <w:sz w:val="34"/>
    </w:rPr>
    <w:pPr>
      <w:keepLines/>
      <w:keepNext/>
      <w:spacing w:after="200" w:before="360"/>
      <w:outlineLvl w:val="1"/>
    </w:pPr>
  </w:style>
  <w:style w:type="character" w:styleId="14">
    <w:name w:val="Heading 2 Char"/>
    <w:basedOn w:val="641"/>
    <w:link w:val="13"/>
    <w:uiPriority w:val="9"/>
    <w:rPr>
      <w:rFonts w:ascii="Arial" w:hAnsi="Arial" w:cs="Arial" w:eastAsia="Arial"/>
      <w:sz w:val="34"/>
    </w:rPr>
  </w:style>
  <w:style w:type="paragraph" w:styleId="15">
    <w:name w:val="Heading 3"/>
    <w:basedOn w:val="640"/>
    <w:next w:val="640"/>
    <w:link w:val="16"/>
    <w:qFormat/>
    <w:uiPriority w:val="9"/>
    <w:unhideWhenUsed/>
    <w:rPr>
      <w:rFonts w:ascii="Arial" w:hAnsi="Arial" w:cs="Arial" w:eastAsia="Arial"/>
      <w:sz w:val="30"/>
      <w:szCs w:val="30"/>
    </w:rPr>
    <w:pPr>
      <w:keepLines/>
      <w:keepNext/>
      <w:spacing w:after="200" w:before="320"/>
      <w:outlineLvl w:val="2"/>
    </w:pPr>
  </w:style>
  <w:style w:type="character" w:styleId="16">
    <w:name w:val="Heading 3 Char"/>
    <w:basedOn w:val="641"/>
    <w:link w:val="15"/>
    <w:uiPriority w:val="9"/>
    <w:rPr>
      <w:rFonts w:ascii="Arial" w:hAnsi="Arial" w:cs="Arial" w:eastAsia="Arial"/>
      <w:sz w:val="30"/>
      <w:szCs w:val="30"/>
    </w:rPr>
  </w:style>
  <w:style w:type="paragraph" w:styleId="17">
    <w:name w:val="Heading 4"/>
    <w:basedOn w:val="640"/>
    <w:next w:val="640"/>
    <w:link w:val="18"/>
    <w:qFormat/>
    <w:uiPriority w:val="9"/>
    <w:unhideWhenUsed/>
    <w:rPr>
      <w:rFonts w:ascii="Arial" w:hAnsi="Arial" w:cs="Arial" w:eastAsia="Arial"/>
      <w:b/>
      <w:bCs/>
      <w:sz w:val="26"/>
      <w:szCs w:val="26"/>
    </w:rPr>
    <w:pPr>
      <w:keepLines/>
      <w:keepNext/>
      <w:spacing w:after="200" w:before="320"/>
      <w:outlineLvl w:val="3"/>
    </w:pPr>
  </w:style>
  <w:style w:type="character" w:styleId="18">
    <w:name w:val="Heading 4 Char"/>
    <w:basedOn w:val="641"/>
    <w:link w:val="17"/>
    <w:uiPriority w:val="9"/>
    <w:rPr>
      <w:rFonts w:ascii="Arial" w:hAnsi="Arial" w:cs="Arial" w:eastAsia="Arial"/>
      <w:b/>
      <w:bCs/>
      <w:sz w:val="26"/>
      <w:szCs w:val="26"/>
    </w:rPr>
  </w:style>
  <w:style w:type="paragraph" w:styleId="19">
    <w:name w:val="Heading 5"/>
    <w:basedOn w:val="640"/>
    <w:next w:val="640"/>
    <w:link w:val="20"/>
    <w:qFormat/>
    <w:uiPriority w:val="9"/>
    <w:unhideWhenUsed/>
    <w:rPr>
      <w:rFonts w:ascii="Arial" w:hAnsi="Arial" w:cs="Arial" w:eastAsia="Arial"/>
      <w:b/>
      <w:bCs/>
      <w:sz w:val="24"/>
      <w:szCs w:val="24"/>
    </w:rPr>
    <w:pPr>
      <w:keepLines/>
      <w:keepNext/>
      <w:spacing w:after="200" w:before="320"/>
      <w:outlineLvl w:val="4"/>
    </w:pPr>
  </w:style>
  <w:style w:type="character" w:styleId="20">
    <w:name w:val="Heading 5 Char"/>
    <w:basedOn w:val="641"/>
    <w:link w:val="19"/>
    <w:uiPriority w:val="9"/>
    <w:rPr>
      <w:rFonts w:ascii="Arial" w:hAnsi="Arial" w:cs="Arial" w:eastAsia="Arial"/>
      <w:b/>
      <w:bCs/>
      <w:sz w:val="24"/>
      <w:szCs w:val="24"/>
    </w:rPr>
  </w:style>
  <w:style w:type="paragraph" w:styleId="21">
    <w:name w:val="Heading 6"/>
    <w:basedOn w:val="640"/>
    <w:next w:val="640"/>
    <w:link w:val="22"/>
    <w:qFormat/>
    <w:uiPriority w:val="9"/>
    <w:unhideWhenUsed/>
    <w:rPr>
      <w:rFonts w:ascii="Arial" w:hAnsi="Arial" w:cs="Arial" w:eastAsia="Arial"/>
      <w:b/>
      <w:bCs/>
      <w:sz w:val="22"/>
      <w:szCs w:val="22"/>
    </w:rPr>
    <w:pPr>
      <w:keepLines/>
      <w:keepNext/>
      <w:spacing w:after="200" w:before="320"/>
      <w:outlineLvl w:val="5"/>
    </w:pPr>
  </w:style>
  <w:style w:type="character" w:styleId="22">
    <w:name w:val="Heading 6 Char"/>
    <w:basedOn w:val="641"/>
    <w:link w:val="21"/>
    <w:uiPriority w:val="9"/>
    <w:rPr>
      <w:rFonts w:ascii="Arial" w:hAnsi="Arial" w:cs="Arial" w:eastAsia="Arial"/>
      <w:b/>
      <w:bCs/>
      <w:sz w:val="22"/>
      <w:szCs w:val="22"/>
    </w:rPr>
  </w:style>
  <w:style w:type="paragraph" w:styleId="23">
    <w:name w:val="Heading 7"/>
    <w:basedOn w:val="640"/>
    <w:next w:val="640"/>
    <w:link w:val="24"/>
    <w:qFormat/>
    <w:uiPriority w:val="9"/>
    <w:unhideWhenUsed/>
    <w:rPr>
      <w:rFonts w:ascii="Arial" w:hAnsi="Arial" w:cs="Arial" w:eastAsia="Arial"/>
      <w:b/>
      <w:bCs/>
      <w:i/>
      <w:iCs/>
      <w:sz w:val="22"/>
      <w:szCs w:val="22"/>
    </w:rPr>
    <w:pPr>
      <w:keepLines/>
      <w:keepNext/>
      <w:spacing w:after="200" w:before="320"/>
      <w:outlineLvl w:val="6"/>
    </w:pPr>
  </w:style>
  <w:style w:type="character" w:styleId="24">
    <w:name w:val="Heading 7 Char"/>
    <w:basedOn w:val="641"/>
    <w:link w:val="23"/>
    <w:uiPriority w:val="9"/>
    <w:rPr>
      <w:rFonts w:ascii="Arial" w:hAnsi="Arial" w:cs="Arial" w:eastAsia="Arial"/>
      <w:b/>
      <w:bCs/>
      <w:i/>
      <w:iCs/>
      <w:sz w:val="22"/>
      <w:szCs w:val="22"/>
    </w:rPr>
  </w:style>
  <w:style w:type="paragraph" w:styleId="25">
    <w:name w:val="Heading 8"/>
    <w:basedOn w:val="640"/>
    <w:next w:val="640"/>
    <w:link w:val="26"/>
    <w:qFormat/>
    <w:uiPriority w:val="9"/>
    <w:unhideWhenUsed/>
    <w:rPr>
      <w:rFonts w:ascii="Arial" w:hAnsi="Arial" w:cs="Arial" w:eastAsia="Arial"/>
      <w:i/>
      <w:iCs/>
      <w:sz w:val="22"/>
      <w:szCs w:val="22"/>
    </w:rPr>
    <w:pPr>
      <w:keepLines/>
      <w:keepNext/>
      <w:spacing w:after="200" w:before="320"/>
      <w:outlineLvl w:val="7"/>
    </w:pPr>
  </w:style>
  <w:style w:type="character" w:styleId="26">
    <w:name w:val="Heading 8 Char"/>
    <w:basedOn w:val="641"/>
    <w:link w:val="25"/>
    <w:uiPriority w:val="9"/>
    <w:rPr>
      <w:rFonts w:ascii="Arial" w:hAnsi="Arial" w:cs="Arial" w:eastAsia="Arial"/>
      <w:i/>
      <w:iCs/>
      <w:sz w:val="22"/>
      <w:szCs w:val="22"/>
    </w:rPr>
  </w:style>
  <w:style w:type="paragraph" w:styleId="27">
    <w:name w:val="Heading 9"/>
    <w:basedOn w:val="640"/>
    <w:next w:val="640"/>
    <w:link w:val="28"/>
    <w:qFormat/>
    <w:uiPriority w:val="9"/>
    <w:unhideWhenUsed/>
    <w:rPr>
      <w:rFonts w:ascii="Arial" w:hAnsi="Arial" w:cs="Arial" w:eastAsia="Arial"/>
      <w:i/>
      <w:iCs/>
      <w:sz w:val="21"/>
      <w:szCs w:val="21"/>
    </w:rPr>
    <w:pPr>
      <w:keepLines/>
      <w:keepNext/>
      <w:spacing w:after="200" w:before="320"/>
      <w:outlineLvl w:val="8"/>
    </w:pPr>
  </w:style>
  <w:style w:type="character" w:styleId="28">
    <w:name w:val="Heading 9 Char"/>
    <w:basedOn w:val="641"/>
    <w:link w:val="27"/>
    <w:uiPriority w:val="9"/>
    <w:rPr>
      <w:rFonts w:ascii="Arial" w:hAnsi="Arial" w:cs="Arial" w:eastAsia="Arial"/>
      <w:i/>
      <w:iCs/>
      <w:sz w:val="21"/>
      <w:szCs w:val="21"/>
    </w:rPr>
  </w:style>
  <w:style w:type="paragraph" w:styleId="31">
    <w:name w:val="No Spacing"/>
    <w:qFormat/>
    <w:uiPriority w:val="1"/>
    <w:pPr>
      <w:spacing w:lineRule="auto" w:line="240" w:after="0" w:before="0"/>
    </w:pPr>
  </w:style>
  <w:style w:type="paragraph" w:styleId="32">
    <w:name w:val="Title"/>
    <w:basedOn w:val="640"/>
    <w:next w:val="640"/>
    <w:link w:val="33"/>
    <w:qFormat/>
    <w:uiPriority w:val="10"/>
    <w:rPr>
      <w:sz w:val="48"/>
      <w:szCs w:val="48"/>
    </w:rPr>
    <w:pPr>
      <w:contextualSpacing w:val="true"/>
      <w:spacing w:after="200" w:before="300"/>
    </w:pPr>
  </w:style>
  <w:style w:type="character" w:styleId="33">
    <w:name w:val="Title Char"/>
    <w:basedOn w:val="641"/>
    <w:link w:val="32"/>
    <w:uiPriority w:val="10"/>
    <w:rPr>
      <w:sz w:val="48"/>
      <w:szCs w:val="48"/>
    </w:rPr>
  </w:style>
  <w:style w:type="paragraph" w:styleId="34">
    <w:name w:val="Subtitle"/>
    <w:basedOn w:val="640"/>
    <w:next w:val="640"/>
    <w:link w:val="35"/>
    <w:qFormat/>
    <w:uiPriority w:val="11"/>
    <w:rPr>
      <w:sz w:val="24"/>
      <w:szCs w:val="24"/>
    </w:rPr>
    <w:pPr>
      <w:spacing w:after="200" w:before="200"/>
    </w:pPr>
  </w:style>
  <w:style w:type="character" w:styleId="35">
    <w:name w:val="Subtitle Char"/>
    <w:basedOn w:val="641"/>
    <w:link w:val="34"/>
    <w:uiPriority w:val="11"/>
    <w:rPr>
      <w:sz w:val="24"/>
      <w:szCs w:val="24"/>
    </w:rPr>
  </w:style>
  <w:style w:type="paragraph" w:styleId="36">
    <w:name w:val="Quote"/>
    <w:basedOn w:val="640"/>
    <w:next w:val="640"/>
    <w:link w:val="37"/>
    <w:qFormat/>
    <w:uiPriority w:val="29"/>
    <w:rPr>
      <w:i/>
    </w:rPr>
    <w:pPr>
      <w:ind w:left="720" w:right="720"/>
    </w:pPr>
  </w:style>
  <w:style w:type="character" w:styleId="37">
    <w:name w:val="Quote Char"/>
    <w:link w:val="36"/>
    <w:uiPriority w:val="29"/>
    <w:rPr>
      <w:i/>
    </w:rPr>
  </w:style>
  <w:style w:type="paragraph" w:styleId="38">
    <w:name w:val="Intense Quote"/>
    <w:basedOn w:val="640"/>
    <w:next w:val="640"/>
    <w:link w:val="39"/>
    <w:qFormat/>
    <w:uiPriority w:val="30"/>
    <w:rPr>
      <w:i/>
    </w:rPr>
    <w:pPr>
      <w:contextualSpacing w:val="false"/>
      <w:ind w:left="720" w:right="720"/>
      <w:shd w:val="clear" w:fill="F2F2F2" w:color="auto"/>
      <w:pBdr>
        <w:left w:val="single" w:color="FFFFFF" w:sz="4" w:space="10"/>
        <w:top w:val="single" w:color="FFFFFF" w:sz="4" w:space="5"/>
        <w:right w:val="single" w:color="FFFFFF" w:sz="4" w:space="10"/>
        <w:bottom w:val="single" w:color="FFFFFF" w:sz="4" w:space="5"/>
      </w:pBdr>
    </w:pPr>
  </w:style>
  <w:style w:type="character" w:styleId="39">
    <w:name w:val="Intense Quote Char"/>
    <w:link w:val="38"/>
    <w:uiPriority w:val="30"/>
    <w:rPr>
      <w:i/>
    </w:rPr>
  </w:style>
  <w:style w:type="paragraph" w:styleId="44">
    <w:name w:val="Caption"/>
    <w:basedOn w:val="640"/>
    <w:next w:val="640"/>
    <w:qFormat/>
    <w:uiPriority w:val="35"/>
    <w:semiHidden/>
    <w:unhideWhenUsed/>
    <w:rPr>
      <w:b/>
      <w:bCs/>
      <w:color w:val="4F81BD" w:themeColor="accent1"/>
      <w:sz w:val="18"/>
      <w:szCs w:val="18"/>
    </w:rPr>
    <w:pPr>
      <w:spacing w:lineRule="auto" w:line="276"/>
    </w:pPr>
  </w:style>
  <w:style w:type="character" w:styleId="45">
    <w:name w:val="Caption Char"/>
    <w:basedOn w:val="44"/>
    <w:link w:val="654"/>
    <w:uiPriority w:val="99"/>
  </w:style>
  <w:style w:type="table" w:styleId="47">
    <w:name w:val="Table Grid Light"/>
    <w:basedOn w:val="642"/>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style>
  <w:style w:type="table" w:styleId="48">
    <w:name w:val="Plain Table 1"/>
    <w:basedOn w:val="642"/>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tblStylePr w:type="band1Horz">
      <w:tcPr>
        <w:shd w:val="clear" w:color="FFFFFF" w:themeFill="text1" w:themeFillTint="0D" w:themeColor="text1" w:themeTint="0D"/>
      </w:tcPr>
    </w:tblStylePr>
    <w:tblStylePr w:type="band1Vert">
      <w:tcPr>
        <w:shd w:val="clear" w:color="FFFFFF" w:themeFill="text1" w:themeFillTint="0D" w:themeColor="text1" w:theme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49">
    <w:name w:val="Plain Table 2"/>
    <w:basedOn w:val="642"/>
    <w:uiPriority w:val="59"/>
    <w:pPr>
      <w:spacing w:lineRule="auto" w:line="240" w:after="0"/>
    </w:pPr>
    <w:tblPr>
      <w:tblInd w:w="0" w:type="dxa"/>
      <w:tblBorders>
        <w:left w:val="none" w:color="000000" w:sz="4" w:space="0" w:themeColor="text1"/>
        <w:top w:val="single" w:color="000000" w:sz="4" w:space="0" w:themeColor="text1"/>
        <w:right w:val="none" w:color="000000" w:sz="4" w:space="0" w:themeColor="text1"/>
        <w:bottom w:val="single" w:color="000000" w:sz="4" w:space="0" w:themeColor="text1"/>
      </w:tblBorders>
      <w:tblCellMar>
        <w:left w:w="108" w:type="dxa"/>
        <w:top w:w="0" w:type="dxa"/>
        <w:right w:w="108" w:type="dxa"/>
        <w:bottom w:w="0" w:type="dxa"/>
      </w:tblCellMar>
    </w:tblPr>
    <w:tblStylePr w:type="band1Horz">
      <w:tcPr>
        <w:tcBorders>
          <w:top w:val="single" w:color="000000" w:sz="4" w:space="0" w:themeColor="text1"/>
          <w:bottom w:val="single" w:color="000000" w:sz="4" w:space="0" w:themeColor="text1"/>
        </w:tcBorders>
      </w:tcPr>
    </w:tblStylePr>
    <w:tblStylePr w:type="band1Vert">
      <w:tcPr>
        <w:tcBorders>
          <w:left w:val="single" w:color="000000" w:sz="4" w:space="0" w:themeColor="text1"/>
          <w:right w:val="single" w:color="000000" w:sz="4" w:space="0" w:themeColor="text1"/>
        </w:tcBorders>
      </w:tcPr>
    </w:tblStylePr>
    <w:tblStylePr w:type="band2Vert">
      <w:tcPr>
        <w:tcBorders>
          <w:left w:val="single" w:color="000000" w:sz="4" w:space="0" w:themeColor="text1"/>
          <w:right w:val="single" w:color="000000" w:sz="4" w:space="0" w:themeColor="text1"/>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sz="4" w:space="0" w:themeColor="text1"/>
          <w:bottom w:val="single" w:color="000000" w:sz="4" w:space="0" w:themeColor="text1"/>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3"/>
    <w:basedOn w:val="642"/>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themeFill="text1" w:themeFillTint="0D" w:themeColor="text1" w:themeTint="0D"/>
      </w:tcPr>
    </w:tblStylePr>
    <w:tblStylePr w:type="band1Vert">
      <w:rPr>
        <w:rFonts w:ascii="Arial" w:hAnsi="Arial"/>
        <w:color w:val="404040"/>
        <w:sz w:val="22"/>
      </w:rPr>
      <w:tcPr>
        <w:shd w:val="clear" w:color="FFFFFF" w:themeFill="text1" w:themeFillTint="0D" w:themeColor="text1" w:themeTint="0D"/>
      </w:tcPr>
    </w:tblStylePr>
    <w:tblStylePr w:type="firstCol">
      <w:rPr>
        <w:b/>
        <w:caps/>
        <w:color w:val="404040"/>
      </w:rPr>
      <w:tcPr>
        <w:tcBorders>
          <w:left w:val="none" w:color="000000" w:sz="4" w:space="0"/>
          <w:top w:val="none" w:color="000000" w:sz="4" w:space="0"/>
          <w:right w:val="single" w:color="404040" w:sz="4" w:space="0"/>
          <w:bottom w:val="none" w:color="000000" w:sz="4" w:space="0"/>
        </w:tcBorders>
      </w:tcPr>
    </w:tblStylePr>
    <w:tblStylePr w:type="firstRow">
      <w:rPr>
        <w:b/>
        <w:caps/>
        <w:color w:val="404040"/>
      </w:rPr>
      <w:tcPr>
        <w:tcBorders>
          <w:left w:val="none" w:color="000000" w:sz="4" w:space="0"/>
          <w:top w:val="none" w:color="000000" w:sz="4" w:space="0"/>
          <w:right w:val="none" w:color="000000" w:sz="4" w:space="0"/>
          <w:bottom w:val="single" w:color="404040" w:sz="4" w:space="0"/>
        </w:tcBorders>
      </w:tcPr>
    </w:tblStylePr>
    <w:tblStylePr w:type="lastCol">
      <w:rPr>
        <w:b/>
        <w:caps/>
        <w:color w:val="404040"/>
      </w:rPr>
    </w:tblStylePr>
    <w:tblStylePr w:type="lastRow">
      <w:rPr>
        <w:b/>
        <w:caps/>
        <w:color w:val="404040"/>
      </w:rPr>
    </w:tblStylePr>
  </w:style>
  <w:style w:type="table" w:styleId="51">
    <w:name w:val="Plain Table 4"/>
    <w:basedOn w:val="642"/>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themeFill="text1" w:themeFillTint="0D" w:themeColor="text1" w:themeTint="0D"/>
      </w:tcPr>
    </w:tblStylePr>
    <w:tblStylePr w:type="band1Vert">
      <w:rPr>
        <w:rFonts w:ascii="Arial" w:hAnsi="Arial"/>
        <w:color w:val="404040"/>
        <w:sz w:val="22"/>
      </w:rPr>
      <w:tcPr>
        <w:shd w:val="clear" w:color="FFFFFF" w:themeFill="text1" w:themeFillTint="0D" w:themeColor="text1" w:theme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2">
    <w:name w:val="Plain Table 5"/>
    <w:basedOn w:val="642"/>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themeFill="text1" w:themeFillTint="0D" w:themeColor="text1" w:themeTint="0D"/>
      </w:tcPr>
    </w:tblStylePr>
    <w:tblStylePr w:type="band1Vert">
      <w:rPr>
        <w:rFonts w:ascii="Arial" w:hAnsi="Arial"/>
        <w:color w:val="404040"/>
        <w:sz w:val="22"/>
      </w:rPr>
      <w:tcPr>
        <w:shd w:val="clear" w:color="FFFFFF" w:themeFill="text1" w:themeFillTint="0D" w:themeColor="text1" w:theme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right w:val="none" w:color="000000" w:sz="4" w:space="0"/>
          <w:bottom w:val="single" w:color="40404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left w:val="none" w:color="000000" w:sz="4" w:space="0"/>
          <w:top w:val="single" w:color="404040" w:sz="4" w:space="0"/>
          <w:right w:val="none" w:color="000000" w:sz="4" w:space="0"/>
        </w:tcBorders>
      </w:tcPr>
    </w:tblStylePr>
  </w:style>
  <w:style w:type="table" w:styleId="53">
    <w:name w:val="Grid Table 1 Light"/>
    <w:basedOn w:val="642"/>
    <w:uiPriority w:val="99"/>
    <w:pPr>
      <w:spacing w:lineRule="auto" w:line="240" w:after="0"/>
    </w:pPr>
    <w:tblPr>
      <w:tblStyleRowBandSize w:val="1"/>
      <w:tblStyleColBandSize w:val="1"/>
      <w:tblInd w:w="0" w:type="dxa"/>
      <w:tbl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insideV w:val="single" w:color="000000" w:sz="4" w:space="0" w:themeColor="text1" w:themeTint="67"/>
        <w:insideH w:val="single" w:color="000000" w:sz="4" w:space="0" w:themeColor="text1" w:themeTint="67"/>
      </w:tblBorders>
    </w:tblPr>
    <w:tblStylePr w:type="band1Horz">
      <w:rPr>
        <w:rFonts w:ascii="Arial" w:hAnsi="Arial"/>
        <w:color w:val="404040"/>
        <w:sz w:val="22"/>
      </w:rPr>
      <w:tcPr>
        <w:tc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tcBorders>
      </w:tcPr>
    </w:tblStylePr>
    <w:tblStylePr w:type="firstCol">
      <w:rPr>
        <w:b/>
        <w:color w:val="404040"/>
      </w:rPr>
    </w:tblStylePr>
    <w:tblStylePr w:type="firstRow">
      <w:rPr>
        <w:b/>
        <w:color w:val="404040"/>
      </w:rPr>
      <w:tcPr>
        <w:tcBorders>
          <w:bottom w:val="single" w:color="000000" w:sz="12" w:space="0" w:themeColor="text1" w:themeTint="95"/>
        </w:tcBorders>
      </w:tcPr>
    </w:tblStylePr>
    <w:tblStylePr w:type="lastCol">
      <w:rPr>
        <w:b/>
        <w:color w:val="404040"/>
      </w:rPr>
    </w:tblStylePr>
    <w:tblStylePr w:type="lastRow">
      <w:rPr>
        <w:b/>
        <w:color w:val="404040"/>
      </w:rPr>
    </w:tblStylePr>
  </w:style>
  <w:style w:type="table" w:styleId="54">
    <w:name w:val="Grid Table 1 Light - Accent 1"/>
    <w:basedOn w:val="642"/>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b/>
        <w:color w:val="404040"/>
      </w:rPr>
    </w:tblStylePr>
    <w:tblStylePr w:type="firstRow">
      <w:rPr>
        <w:b/>
        <w:color w:val="404040"/>
      </w:rPr>
      <w:tcPr>
        <w:tcBorders>
          <w:bottom w:val="single" w:color="000000" w:sz="12" w:space="0" w:themeColor="accent1" w:themeTint="95"/>
        </w:tcBorders>
      </w:tcPr>
    </w:tblStylePr>
    <w:tblStylePr w:type="lastCol">
      <w:rPr>
        <w:b/>
        <w:color w:val="404040"/>
      </w:rPr>
    </w:tblStylePr>
    <w:tblStylePr w:type="lastRow">
      <w:rPr>
        <w:b/>
        <w:color w:val="404040"/>
      </w:rPr>
    </w:tblStylePr>
  </w:style>
  <w:style w:type="table" w:styleId="55">
    <w:name w:val="Grid Table 1 Light - Accent 2"/>
    <w:basedOn w:val="642"/>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b/>
        <w:color w:val="404040"/>
      </w:rPr>
    </w:tblStylePr>
    <w:tblStylePr w:type="firstRow">
      <w:rPr>
        <w:b/>
        <w:color w:val="404040"/>
      </w:rPr>
      <w:tcPr>
        <w:tcBorders>
          <w:bottom w:val="single" w:color="000000" w:sz="12" w:space="0" w:themeColor="accent2" w:themeTint="95"/>
        </w:tcBorders>
      </w:tcPr>
    </w:tblStylePr>
    <w:tblStylePr w:type="lastCol">
      <w:rPr>
        <w:b/>
        <w:color w:val="404040"/>
      </w:rPr>
    </w:tblStylePr>
    <w:tblStylePr w:type="lastRow">
      <w:rPr>
        <w:b/>
        <w:color w:val="404040"/>
      </w:rPr>
    </w:tblStylePr>
  </w:style>
  <w:style w:type="table" w:styleId="56">
    <w:name w:val="Grid Table 1 Light - Accent 3"/>
    <w:basedOn w:val="642"/>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b/>
        <w:color w:val="404040"/>
      </w:rPr>
    </w:tblStylePr>
    <w:tblStylePr w:type="firstRow">
      <w:rPr>
        <w:b/>
        <w:color w:val="404040"/>
      </w:rPr>
      <w:tcPr>
        <w:tcBorders>
          <w:bottom w:val="single" w:color="000000" w:sz="12" w:space="0" w:themeColor="accent3" w:themeTint="95"/>
        </w:tcBorders>
      </w:tcPr>
    </w:tblStylePr>
    <w:tblStylePr w:type="lastCol">
      <w:rPr>
        <w:b/>
        <w:color w:val="404040"/>
      </w:rPr>
    </w:tblStylePr>
    <w:tblStylePr w:type="lastRow">
      <w:rPr>
        <w:b/>
        <w:color w:val="404040"/>
      </w:rPr>
    </w:tblStylePr>
  </w:style>
  <w:style w:type="table" w:styleId="57">
    <w:name w:val="Grid Table 1 Light - Accent 4"/>
    <w:basedOn w:val="642"/>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b/>
        <w:color w:val="404040"/>
      </w:rPr>
    </w:tblStylePr>
    <w:tblStylePr w:type="firstRow">
      <w:rPr>
        <w:b/>
        <w:color w:val="404040"/>
      </w:rPr>
      <w:tcPr>
        <w:tcBorders>
          <w:bottom w:val="single" w:color="000000" w:sz="12" w:space="0" w:themeColor="accent4" w:themeTint="95"/>
        </w:tcBorders>
      </w:tcPr>
    </w:tblStylePr>
    <w:tblStylePr w:type="lastCol">
      <w:rPr>
        <w:b/>
        <w:color w:val="404040"/>
      </w:rPr>
    </w:tblStylePr>
    <w:tblStylePr w:type="lastRow">
      <w:rPr>
        <w:b/>
        <w:color w:val="404040"/>
      </w:rPr>
    </w:tblStylePr>
  </w:style>
  <w:style w:type="table" w:styleId="58">
    <w:name w:val="Grid Table 1 Light - Accent 5"/>
    <w:basedOn w:val="642"/>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b/>
        <w:color w:val="404040"/>
      </w:rPr>
    </w:tblStylePr>
    <w:tblStylePr w:type="firstRow">
      <w:rPr>
        <w:b/>
        <w:color w:val="404040"/>
      </w:rPr>
      <w:tcPr>
        <w:tcBorders>
          <w:bottom w:val="single" w:color="000000" w:sz="12" w:space="0" w:themeColor="accent5" w:themeTint="95"/>
        </w:tcBorders>
      </w:tcPr>
    </w:tblStylePr>
    <w:tblStylePr w:type="lastCol">
      <w:rPr>
        <w:b/>
        <w:color w:val="404040"/>
      </w:rPr>
    </w:tblStylePr>
    <w:tblStylePr w:type="lastRow">
      <w:rPr>
        <w:b/>
        <w:color w:val="404040"/>
      </w:rPr>
    </w:tblStylePr>
  </w:style>
  <w:style w:type="table" w:styleId="59">
    <w:name w:val="Grid Table 1 Light - Accent 6"/>
    <w:basedOn w:val="642"/>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b/>
        <w:color w:val="404040"/>
      </w:rPr>
    </w:tblStylePr>
    <w:tblStylePr w:type="firstRow">
      <w:rPr>
        <w:b/>
        <w:color w:val="404040"/>
      </w:rPr>
      <w:tcPr>
        <w:tcBorders>
          <w:bottom w:val="single" w:color="000000" w:sz="12" w:space="0" w:themeColor="accent6" w:themeTint="95"/>
        </w:tcBorders>
      </w:tcPr>
    </w:tblStylePr>
    <w:tblStylePr w:type="lastCol">
      <w:rPr>
        <w:b/>
        <w:color w:val="404040"/>
      </w:rPr>
    </w:tblStylePr>
    <w:tblStylePr w:type="lastRow">
      <w:rPr>
        <w:b/>
        <w:color w:val="404040"/>
      </w:rPr>
    </w:tblStylePr>
  </w:style>
  <w:style w:type="table" w:styleId="60">
    <w:name w:val="Grid Table 2"/>
    <w:basedOn w:val="642"/>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FFFFFF" w:themeFill="text1" w:themeFillTint="34" w:themeColor="text1" w:themeTint="34"/>
      </w:tcPr>
    </w:tblStylePr>
    <w:tblStylePr w:type="band1Vert">
      <w:rPr>
        <w:rFonts w:ascii="Arial" w:hAnsi="Arial"/>
        <w:color w:val="404040"/>
        <w:sz w:val="22"/>
      </w:rPr>
      <w:tcPr>
        <w:shd w:val="clear" w:color="FFFFFF" w:themeFill="text1" w:themeFillTint="34" w:themeColor="text1"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text1" w:themeTint="95"/>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text1" w:themeTint="95"/>
          <w:right w:val="none" w:color="000000" w:sz="4" w:space="0"/>
          <w:bottom w:val="none" w:color="000000" w:sz="4" w:space="0"/>
        </w:tcBorders>
      </w:tcPr>
    </w:tblStylePr>
  </w:style>
  <w:style w:type="table" w:styleId="61">
    <w:name w:val="Grid Table 2 - Accent 1"/>
    <w:basedOn w:val="642"/>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FFFFFF" w:themeFill="accent1" w:themeFillTint="34" w:themeColor="accent1" w:themeTint="34"/>
      </w:tcPr>
    </w:tblStylePr>
    <w:tblStylePr w:type="band1Vert">
      <w:rPr>
        <w:rFonts w:ascii="Arial" w:hAnsi="Arial"/>
        <w:color w:val="404040"/>
        <w:sz w:val="22"/>
      </w:rPr>
      <w:tcPr>
        <w:shd w:val="clear" w:color="FFFFFF" w:themeFill="accent1" w:themeFillTint="34" w:themeColor="accent1"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1" w:themeTint="EA"/>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1" w:themeTint="EA"/>
          <w:right w:val="none" w:color="000000" w:sz="4" w:space="0"/>
          <w:bottom w:val="none" w:color="000000" w:sz="4" w:space="0"/>
        </w:tcBorders>
      </w:tcPr>
    </w:tblStylePr>
  </w:style>
  <w:style w:type="table" w:styleId="62">
    <w:name w:val="Grid Table 2 - Accent 2"/>
    <w:basedOn w:val="642"/>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FFFFFF" w:themeFill="accent2" w:themeFillTint="32" w:themeColor="accent2" w:themeTint="32"/>
      </w:tcPr>
    </w:tblStylePr>
    <w:tblStylePr w:type="band1Vert">
      <w:rPr>
        <w:rFonts w:ascii="Arial" w:hAnsi="Arial"/>
        <w:color w:val="404040"/>
        <w:sz w:val="22"/>
      </w:rPr>
      <w:tcPr>
        <w:shd w:val="clear" w:color="FFFFFF" w:themeFill="accent2" w:themeFillTint="32" w:themeColor="accent2" w:themeTint="32"/>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2" w:themeTint="97"/>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2" w:themeTint="97"/>
          <w:right w:val="none" w:color="000000" w:sz="4" w:space="0"/>
          <w:bottom w:val="none" w:color="000000" w:sz="4" w:space="0"/>
        </w:tcBorders>
      </w:tcPr>
    </w:tblStylePr>
  </w:style>
  <w:style w:type="table" w:styleId="63">
    <w:name w:val="Grid Table 2 - Accent 3"/>
    <w:basedOn w:val="642"/>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FFFFFF" w:themeFill="accent3" w:themeFillTint="34" w:themeColor="accent3" w:themeTint="34"/>
      </w:tcPr>
    </w:tblStylePr>
    <w:tblStylePr w:type="band1Vert">
      <w:rPr>
        <w:rFonts w:ascii="Arial" w:hAnsi="Arial"/>
        <w:color w:val="404040"/>
        <w:sz w:val="22"/>
      </w:rPr>
      <w:tcPr>
        <w:shd w:val="clear" w:color="FFFFFF" w:themeFill="accent3" w:themeFillTint="34" w:themeColor="accent3"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3" w:themeTint="FE"/>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3" w:themeTint="FE"/>
          <w:right w:val="none" w:color="000000" w:sz="4" w:space="0"/>
          <w:bottom w:val="none" w:color="000000" w:sz="4" w:space="0"/>
        </w:tcBorders>
      </w:tcPr>
    </w:tblStylePr>
  </w:style>
  <w:style w:type="table" w:styleId="64">
    <w:name w:val="Grid Table 2 - Accent 4"/>
    <w:basedOn w:val="642"/>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FFFFFF" w:themeFill="accent4" w:themeFillTint="34" w:themeColor="accent4" w:themeTint="34"/>
      </w:tcPr>
    </w:tblStylePr>
    <w:tblStylePr w:type="band1Vert">
      <w:rPr>
        <w:rFonts w:ascii="Arial" w:hAnsi="Arial"/>
        <w:color w:val="404040"/>
        <w:sz w:val="22"/>
      </w:rPr>
      <w:tcPr>
        <w:shd w:val="clear" w:color="FFFFFF" w:themeFill="accent4" w:themeFillTint="34" w:themeColor="accent4"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4" w:themeTint="9A"/>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4" w:themeTint="9A"/>
          <w:right w:val="none" w:color="000000" w:sz="4" w:space="0"/>
          <w:bottom w:val="none" w:color="000000" w:sz="4" w:space="0"/>
        </w:tcBorders>
      </w:tcPr>
    </w:tblStylePr>
  </w:style>
  <w:style w:type="table" w:styleId="65">
    <w:name w:val="Grid Table 2 - Accent 5"/>
    <w:basedOn w:val="642"/>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FFFFFF" w:themeFill="accent5" w:themeFillTint="34" w:themeColor="accent5" w:themeTint="34"/>
      </w:tcPr>
    </w:tblStylePr>
    <w:tblStylePr w:type="band1Vert">
      <w:rPr>
        <w:rFonts w:ascii="Arial" w:hAnsi="Arial"/>
        <w:color w:val="404040"/>
        <w:sz w:val="22"/>
      </w:rPr>
      <w:tcPr>
        <w:shd w:val="clear" w:color="FFFFFF" w:themeFill="accent5" w:themeFillTint="34" w:themeColor="accent5"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5"/>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5"/>
          <w:right w:val="none" w:color="000000" w:sz="4" w:space="0"/>
          <w:bottom w:val="none" w:color="000000" w:sz="4" w:space="0"/>
        </w:tcBorders>
      </w:tcPr>
    </w:tblStylePr>
  </w:style>
  <w:style w:type="table" w:styleId="66">
    <w:name w:val="Grid Table 2 - Accent 6"/>
    <w:basedOn w:val="642"/>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FFFFFF" w:themeFill="accent6" w:themeFillTint="34" w:themeColor="accent6" w:themeTint="34"/>
      </w:tcPr>
    </w:tblStylePr>
    <w:tblStylePr w:type="band1Vert">
      <w:rPr>
        <w:rFonts w:ascii="Arial" w:hAnsi="Arial"/>
        <w:color w:val="404040"/>
        <w:sz w:val="22"/>
      </w:rPr>
      <w:tcPr>
        <w:shd w:val="clear" w:color="FFFFFF" w:themeFill="accent6" w:themeFillTint="34" w:themeColor="accent6"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6"/>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6"/>
          <w:right w:val="none" w:color="000000" w:sz="4" w:space="0"/>
          <w:bottom w:val="none" w:color="000000" w:sz="4" w:space="0"/>
        </w:tcBorders>
      </w:tcPr>
    </w:tblStylePr>
  </w:style>
  <w:style w:type="table" w:styleId="67">
    <w:name w:val="Grid Table 3"/>
    <w:basedOn w:val="642"/>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FFFFFF" w:themeFill="text1" w:themeFillTint="34" w:themeColor="text1" w:themeTint="34"/>
      </w:tcPr>
    </w:tblStylePr>
    <w:tblStylePr w:type="band1Vert">
      <w:rPr>
        <w:rFonts w:ascii="Arial" w:hAnsi="Arial"/>
        <w:color w:val="404040"/>
        <w:sz w:val="22"/>
      </w:rPr>
      <w:tcPr>
        <w:shd w:val="clear" w:color="FFFFFF" w:themeFill="text1" w:themeFillTint="34" w:themeColor="text1"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68">
    <w:name w:val="Grid Table 3 - Accent 1"/>
    <w:basedOn w:val="642"/>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FFFFFF" w:themeFill="accent1" w:themeFillTint="34" w:themeColor="accent1" w:themeTint="34"/>
      </w:tcPr>
    </w:tblStylePr>
    <w:tblStylePr w:type="band1Vert">
      <w:rPr>
        <w:rFonts w:ascii="Arial" w:hAnsi="Arial"/>
        <w:color w:val="404040"/>
        <w:sz w:val="22"/>
      </w:rPr>
      <w:tcPr>
        <w:shd w:val="clear" w:color="FFFFFF" w:themeFill="accent1" w:themeFillTint="34" w:themeColor="accent1"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69">
    <w:name w:val="Grid Table 3 - Accent 2"/>
    <w:basedOn w:val="642"/>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FFFFFF" w:themeFill="accent2" w:themeFillTint="32" w:themeColor="accent2" w:themeTint="32"/>
      </w:tcPr>
    </w:tblStylePr>
    <w:tblStylePr w:type="band1Vert">
      <w:rPr>
        <w:rFonts w:ascii="Arial" w:hAnsi="Arial"/>
        <w:color w:val="404040"/>
        <w:sz w:val="22"/>
      </w:rPr>
      <w:tcPr>
        <w:shd w:val="clear" w:color="FFFFFF" w:themeFill="accent2" w:themeFillTint="32" w:themeColor="accent2" w:themeTint="32"/>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0">
    <w:name w:val="Grid Table 3 - Accent 3"/>
    <w:basedOn w:val="642"/>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FFFFFF" w:themeFill="accent3" w:themeFillTint="34" w:themeColor="accent3" w:themeTint="34"/>
      </w:tcPr>
    </w:tblStylePr>
    <w:tblStylePr w:type="band1Vert">
      <w:rPr>
        <w:rFonts w:ascii="Arial" w:hAnsi="Arial"/>
        <w:color w:val="404040"/>
        <w:sz w:val="22"/>
      </w:rPr>
      <w:tcPr>
        <w:shd w:val="clear" w:color="FFFFFF" w:themeFill="accent3" w:themeFillTint="34" w:themeColor="accent3"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1">
    <w:name w:val="Grid Table 3 - Accent 4"/>
    <w:basedOn w:val="642"/>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FFFFFF" w:themeFill="accent4" w:themeFillTint="34" w:themeColor="accent4" w:themeTint="34"/>
      </w:tcPr>
    </w:tblStylePr>
    <w:tblStylePr w:type="band1Vert">
      <w:rPr>
        <w:rFonts w:ascii="Arial" w:hAnsi="Arial"/>
        <w:color w:val="404040"/>
        <w:sz w:val="22"/>
      </w:rPr>
      <w:tcPr>
        <w:shd w:val="clear" w:color="FFFFFF" w:themeFill="accent4" w:themeFillTint="34" w:themeColor="accent4"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2">
    <w:name w:val="Grid Table 3 - Accent 5"/>
    <w:basedOn w:val="642"/>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FFFFFF" w:themeFill="accent5" w:themeFillTint="34" w:themeColor="accent5" w:themeTint="34"/>
      </w:tcPr>
    </w:tblStylePr>
    <w:tblStylePr w:type="band1Vert">
      <w:rPr>
        <w:rFonts w:ascii="Arial" w:hAnsi="Arial"/>
        <w:color w:val="404040"/>
        <w:sz w:val="22"/>
      </w:rPr>
      <w:tcPr>
        <w:shd w:val="clear" w:color="FFFFFF" w:themeFill="accent5" w:themeFillTint="34" w:themeColor="accent5"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3">
    <w:name w:val="Grid Table 3 - Accent 6"/>
    <w:basedOn w:val="642"/>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FFFFFF" w:themeFill="accent6" w:themeFillTint="34" w:themeColor="accent6" w:themeTint="34"/>
      </w:tcPr>
    </w:tblStylePr>
    <w:tblStylePr w:type="band1Vert">
      <w:rPr>
        <w:rFonts w:ascii="Arial" w:hAnsi="Arial"/>
        <w:color w:val="404040"/>
        <w:sz w:val="22"/>
      </w:rPr>
      <w:tcPr>
        <w:shd w:val="clear" w:color="FFFFFF" w:themeFill="accent6" w:themeFillTint="34" w:themeColor="accent6"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4">
    <w:name w:val="Grid Table 4"/>
    <w:basedOn w:val="642"/>
    <w:uiPriority w:val="59"/>
    <w:pPr>
      <w:spacing w:lineRule="auto" w:line="240" w:after="0"/>
    </w:pPr>
    <w:tblPr>
      <w:tblStyleRowBandSize w:val="1"/>
      <w:tblStyleColBandSize w:val="1"/>
      <w:tblInd w:w="0" w:type="dxa"/>
      <w:tblBorders>
        <w:left w:val="single" w:color="000000" w:sz="4" w:space="0" w:themeColor="text1" w:themeTint="90"/>
        <w:top w:val="single" w:color="000000" w:sz="4" w:space="0" w:themeColor="text1" w:themeTint="90"/>
        <w:right w:val="single" w:color="000000" w:sz="4" w:space="0" w:themeColor="text1" w:themeTint="90"/>
        <w:bottom w:val="single" w:color="000000" w:sz="4" w:space="0" w:themeColor="text1" w:themeTint="90"/>
        <w:insideV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FFFFFF" w:themeFill="text1" w:themeFillTint="34" w:themeColor="text1" w:themeTint="34"/>
      </w:tcPr>
    </w:tblStylePr>
    <w:tblStylePr w:type="band1Vert">
      <w:rPr>
        <w:rFonts w:ascii="Arial" w:hAnsi="Arial"/>
        <w:color w:val="404040"/>
        <w:sz w:val="22"/>
      </w:rPr>
      <w:tcPr>
        <w:shd w:val="clear" w:color="FFFFFF" w:themeFill="text1" w:themeFillTint="34" w:themeColor="text1" w:themeTint="34"/>
      </w:tcPr>
    </w:tblStylePr>
    <w:tblStylePr w:type="firstCol">
      <w:rPr>
        <w:b/>
        <w:color w:val="404040"/>
      </w:rPr>
    </w:tblStylePr>
    <w:tblStylePr w:type="firstRow">
      <w:rPr>
        <w:rFonts w:ascii="Arial" w:hAnsi="Arial"/>
        <w:b/>
        <w:color w:val="FFFFFF"/>
        <w:sz w:val="22"/>
      </w:rPr>
      <w:tcPr>
        <w:shd w:val="clear" w:color="FFFFFF" w:themeFill="text1" w:themeColor="text1"/>
        <w:tcBorders>
          <w:left w:val="single" w:color="000000" w:sz="4" w:space="0" w:themeColor="text1"/>
          <w:top w:val="single" w:color="000000" w:sz="4" w:space="0" w:themeColor="text1"/>
          <w:right w:val="single" w:color="000000" w:sz="4" w:space="0" w:themeColor="text1"/>
          <w:bottom w:val="single" w:color="000000" w:sz="4" w:space="0" w:themeColor="text1"/>
        </w:tcBorders>
      </w:tcPr>
    </w:tblStylePr>
    <w:tblStylePr w:type="lastCol">
      <w:rPr>
        <w:b/>
        <w:color w:val="404040"/>
      </w:rPr>
    </w:tblStylePr>
    <w:tblStylePr w:type="lastRow">
      <w:rPr>
        <w:b/>
        <w:color w:val="404040"/>
      </w:rPr>
      <w:tcPr>
        <w:tcBorders>
          <w:top w:val="single" w:color="000000" w:sz="4" w:space="0" w:themeColor="text1"/>
        </w:tcBorders>
      </w:tcPr>
    </w:tblStylePr>
  </w:style>
  <w:style w:type="table" w:styleId="75">
    <w:name w:val="Grid Table 4 - Accent 1"/>
    <w:basedOn w:val="642"/>
    <w:uiPriority w:val="5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V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themeFill="accent1" w:themeFillTint="32" w:themeColor="accent1" w:themeTint="32"/>
      </w:tcPr>
    </w:tblStylePr>
    <w:tblStylePr w:type="band1Vert">
      <w:rPr>
        <w:rFonts w:ascii="Arial" w:hAnsi="Arial"/>
        <w:color w:val="404040"/>
        <w:sz w:val="22"/>
      </w:rPr>
      <w:tcPr>
        <w:shd w:val="clear" w:color="FFFFFF" w:themeFill="accent1" w:themeFillTint="32" w:themeColor="accent1" w:themeTint="32"/>
      </w:tcPr>
    </w:tblStylePr>
    <w:tblStylePr w:type="firstCol">
      <w:rPr>
        <w:b/>
        <w:color w:val="404040"/>
      </w:rPr>
    </w:tblStylePr>
    <w:tblStylePr w:type="firstRow">
      <w:rPr>
        <w:rFonts w:ascii="Arial" w:hAnsi="Arial"/>
        <w:b/>
        <w:color w:val="FFFFFF"/>
        <w:sz w:val="22"/>
      </w:rPr>
      <w:tcPr>
        <w:shd w:val="clear" w:color="FFFFFF" w:themeFill="accent1" w:themeFillTint="EA" w:themeColor="accent1" w:themeTint="EA"/>
        <w:tcBorders>
          <w:left w:val="single" w:color="000000" w:sz="4" w:space="0" w:themeColor="accent1" w:themeTint="EA"/>
          <w:top w:val="single" w:color="000000" w:sz="4" w:space="0" w:themeColor="accent1" w:themeTint="EA"/>
          <w:right w:val="single" w:color="000000" w:sz="4" w:space="0" w:themeColor="accent1" w:themeTint="EA"/>
          <w:bottom w:val="single" w:color="000000" w:sz="4" w:space="0" w:themeColor="accent1" w:themeTint="EA"/>
        </w:tcBorders>
      </w:tcPr>
    </w:tblStylePr>
    <w:tblStylePr w:type="lastCol">
      <w:rPr>
        <w:b/>
        <w:color w:val="404040"/>
      </w:rPr>
    </w:tblStylePr>
    <w:tblStylePr w:type="lastRow">
      <w:rPr>
        <w:b/>
        <w:color w:val="404040"/>
      </w:rPr>
      <w:tcPr>
        <w:tcBorders>
          <w:top w:val="single" w:color="000000" w:sz="4" w:space="0" w:themeColor="accent1" w:themeTint="EA"/>
        </w:tcBorders>
      </w:tcPr>
    </w:tblStylePr>
  </w:style>
  <w:style w:type="table" w:styleId="76">
    <w:name w:val="Grid Table 4 - Accent 2"/>
    <w:basedOn w:val="642"/>
    <w:uiPriority w:val="5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V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themeFill="accent2" w:themeFillTint="32" w:themeColor="accent2" w:themeTint="32"/>
      </w:tcPr>
    </w:tblStylePr>
    <w:tblStylePr w:type="band1Vert">
      <w:rPr>
        <w:rFonts w:ascii="Arial" w:hAnsi="Arial"/>
        <w:color w:val="404040"/>
        <w:sz w:val="22"/>
      </w:rPr>
      <w:tcPr>
        <w:shd w:val="clear" w:color="FFFFFF" w:themeFill="accent2" w:themeFillTint="32" w:themeColor="accent2" w:themeTint="32"/>
      </w:tcPr>
    </w:tblStylePr>
    <w:tblStylePr w:type="firstCol">
      <w:rPr>
        <w:b/>
        <w:color w:val="404040"/>
      </w:rPr>
    </w:tblStylePr>
    <w:tblStylePr w:type="firstRow">
      <w:rPr>
        <w:rFonts w:ascii="Arial" w:hAnsi="Arial"/>
        <w:b/>
        <w:color w:val="FFFFFF"/>
        <w:sz w:val="22"/>
      </w:rPr>
      <w:tcPr>
        <w:shd w:val="clear" w:color="FFFFFF" w:themeFill="accent2" w:themeFillTint="97" w:themeColor="accent2" w:themeTint="97"/>
        <w:tc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cBorders>
      </w:tcPr>
    </w:tblStylePr>
    <w:tblStylePr w:type="lastCol">
      <w:rPr>
        <w:b/>
        <w:color w:val="404040"/>
      </w:rPr>
    </w:tblStylePr>
    <w:tblStylePr w:type="lastRow">
      <w:rPr>
        <w:b/>
        <w:color w:val="404040"/>
      </w:rPr>
      <w:tcPr>
        <w:tcBorders>
          <w:top w:val="single" w:color="000000" w:sz="4" w:space="0" w:themeColor="accent2" w:themeTint="97"/>
        </w:tcBorders>
      </w:tcPr>
    </w:tblStylePr>
  </w:style>
  <w:style w:type="table" w:styleId="77">
    <w:name w:val="Grid Table 4 - Accent 3"/>
    <w:basedOn w:val="642"/>
    <w:uiPriority w:val="5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V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themeFill="accent3" w:themeFillTint="34" w:themeColor="accent3" w:themeTint="34"/>
      </w:tcPr>
    </w:tblStylePr>
    <w:tblStylePr w:type="band1Vert">
      <w:rPr>
        <w:rFonts w:ascii="Arial" w:hAnsi="Arial"/>
        <w:color w:val="404040"/>
        <w:sz w:val="22"/>
      </w:rPr>
      <w:tcPr>
        <w:shd w:val="clear" w:color="FFFFFF" w:themeFill="accent3" w:themeFillTint="34" w:themeColor="accent3" w:themeTint="34"/>
      </w:tcPr>
    </w:tblStylePr>
    <w:tblStylePr w:type="firstCol">
      <w:rPr>
        <w:b/>
        <w:color w:val="404040"/>
      </w:rPr>
    </w:tblStylePr>
    <w:tblStylePr w:type="firstRow">
      <w:rPr>
        <w:rFonts w:ascii="Arial" w:hAnsi="Arial"/>
        <w:b/>
        <w:color w:val="FFFFFF"/>
        <w:sz w:val="22"/>
      </w:rPr>
      <w:tcPr>
        <w:shd w:val="clear" w:color="FFFFFF" w:themeFill="accent3" w:themeFillTint="FE" w:themeColor="accent3" w:themeTint="FE"/>
        <w:tc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tcBorders>
      </w:tcPr>
    </w:tblStylePr>
    <w:tblStylePr w:type="lastCol">
      <w:rPr>
        <w:b/>
        <w:color w:val="404040"/>
      </w:rPr>
    </w:tblStylePr>
    <w:tblStylePr w:type="lastRow">
      <w:rPr>
        <w:b/>
        <w:color w:val="404040"/>
      </w:rPr>
      <w:tcPr>
        <w:tcBorders>
          <w:top w:val="single" w:color="000000" w:sz="4" w:space="0" w:themeColor="accent3" w:themeTint="FE"/>
        </w:tcBorders>
      </w:tcPr>
    </w:tblStylePr>
  </w:style>
  <w:style w:type="table" w:styleId="78">
    <w:name w:val="Grid Table 4 - Accent 4"/>
    <w:basedOn w:val="642"/>
    <w:uiPriority w:val="5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V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themeFill="accent4" w:themeFillTint="34" w:themeColor="accent4" w:themeTint="34"/>
      </w:tcPr>
    </w:tblStylePr>
    <w:tblStylePr w:type="band1Vert">
      <w:rPr>
        <w:rFonts w:ascii="Arial" w:hAnsi="Arial"/>
        <w:color w:val="404040"/>
        <w:sz w:val="22"/>
      </w:rPr>
      <w:tcPr>
        <w:shd w:val="clear" w:color="FFFFFF" w:themeFill="accent4" w:themeFillTint="34" w:themeColor="accent4" w:themeTint="34"/>
      </w:tcPr>
    </w:tblStylePr>
    <w:tblStylePr w:type="firstCol">
      <w:rPr>
        <w:b/>
        <w:color w:val="404040"/>
      </w:rPr>
    </w:tblStylePr>
    <w:tblStylePr w:type="firstRow">
      <w:rPr>
        <w:rFonts w:ascii="Arial" w:hAnsi="Arial"/>
        <w:b/>
        <w:color w:val="FFFFFF"/>
        <w:sz w:val="22"/>
      </w:rPr>
      <w:tcPr>
        <w:shd w:val="clear" w:color="FFFFFF" w:themeFill="accent4" w:themeFillTint="9A" w:themeColor="accent4" w:themeTint="9A"/>
        <w:tc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cBorders>
      </w:tcPr>
    </w:tblStylePr>
    <w:tblStylePr w:type="lastCol">
      <w:rPr>
        <w:b/>
        <w:color w:val="404040"/>
      </w:rPr>
    </w:tblStylePr>
    <w:tblStylePr w:type="lastRow">
      <w:rPr>
        <w:b/>
        <w:color w:val="404040"/>
      </w:rPr>
      <w:tcPr>
        <w:tcBorders>
          <w:top w:val="single" w:color="000000" w:sz="4" w:space="0" w:themeColor="accent4" w:themeTint="9A"/>
        </w:tcBorders>
      </w:tcPr>
    </w:tblStylePr>
  </w:style>
  <w:style w:type="table" w:styleId="79">
    <w:name w:val="Grid Table 4 - Accent 5"/>
    <w:basedOn w:val="642"/>
    <w:uiPriority w:val="5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themeFill="accent5" w:themeFillTint="34" w:themeColor="accent5" w:themeTint="34"/>
      </w:tcPr>
    </w:tblStylePr>
    <w:tblStylePr w:type="band1Vert">
      <w:rPr>
        <w:rFonts w:ascii="Arial" w:hAnsi="Arial"/>
        <w:color w:val="404040"/>
        <w:sz w:val="22"/>
      </w:rPr>
      <w:tcPr>
        <w:shd w:val="clear" w:color="FFFFFF" w:themeFill="accent5" w:themeFillTint="34" w:themeColor="accent5" w:themeTint="34"/>
      </w:tcPr>
    </w:tblStylePr>
    <w:tblStylePr w:type="firstCol">
      <w:rPr>
        <w:b/>
        <w:color w:val="404040"/>
      </w:rPr>
    </w:tblStylePr>
    <w:tblStylePr w:type="firstRow">
      <w:rPr>
        <w:rFonts w:ascii="Arial" w:hAnsi="Arial"/>
        <w:b/>
        <w:color w:val="FFFFFF"/>
        <w:sz w:val="22"/>
      </w:rPr>
      <w:tcPr>
        <w:shd w:val="clear" w:color="FFFFFF" w:themeFill="accent5" w:themeColor="accent5"/>
        <w:tcBorders>
          <w:left w:val="single" w:color="000000" w:sz="4" w:space="0" w:themeColor="accent5"/>
          <w:top w:val="single" w:color="000000" w:sz="4" w:space="0" w:themeColor="accent5"/>
          <w:right w:val="single" w:color="000000" w:sz="4" w:space="0" w:themeColor="accent5"/>
          <w:bottom w:val="single" w:color="000000" w:sz="4" w:space="0" w:themeColor="accent5"/>
        </w:tcBorders>
      </w:tcPr>
    </w:tblStylePr>
    <w:tblStylePr w:type="lastCol">
      <w:rPr>
        <w:b/>
        <w:color w:val="404040"/>
      </w:rPr>
    </w:tblStylePr>
    <w:tblStylePr w:type="lastRow">
      <w:rPr>
        <w:b/>
        <w:color w:val="404040"/>
      </w:rPr>
      <w:tcPr>
        <w:tcBorders>
          <w:top w:val="single" w:color="000000" w:sz="4" w:space="0" w:themeColor="accent5"/>
        </w:tcBorders>
      </w:tcPr>
    </w:tblStylePr>
  </w:style>
  <w:style w:type="table" w:styleId="80">
    <w:name w:val="Grid Table 4 - Accent 6"/>
    <w:basedOn w:val="642"/>
    <w:uiPriority w:val="5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themeFill="accent6" w:themeFillTint="34" w:themeColor="accent6" w:themeTint="34"/>
      </w:tcPr>
    </w:tblStylePr>
    <w:tblStylePr w:type="band1Vert">
      <w:rPr>
        <w:rFonts w:ascii="Arial" w:hAnsi="Arial"/>
        <w:color w:val="404040"/>
        <w:sz w:val="22"/>
      </w:rPr>
      <w:tcPr>
        <w:shd w:val="clear" w:color="FFFFFF" w:themeFill="accent6" w:themeFillTint="34" w:themeColor="accent6" w:themeTint="34"/>
      </w:tcPr>
    </w:tblStylePr>
    <w:tblStylePr w:type="firstCol">
      <w:rPr>
        <w:b/>
        <w:color w:val="404040"/>
      </w:rPr>
    </w:tblStylePr>
    <w:tblStylePr w:type="firstRow">
      <w:rPr>
        <w:rFonts w:ascii="Arial" w:hAnsi="Arial"/>
        <w:b/>
        <w:color w:val="FFFFFF"/>
        <w:sz w:val="22"/>
      </w:rPr>
      <w:tcPr>
        <w:shd w:val="clear" w:color="FFFFFF" w:themeFill="accent6" w:themeColor="accent6"/>
        <w:tcBorders>
          <w:left w:val="single" w:color="000000" w:sz="4" w:space="0" w:themeColor="accent6"/>
          <w:top w:val="single" w:color="000000" w:sz="4" w:space="0" w:themeColor="accent6"/>
          <w:right w:val="single" w:color="000000" w:sz="4" w:space="0" w:themeColor="accent6"/>
          <w:bottom w:val="single" w:color="000000" w:sz="4" w:space="0" w:themeColor="accent6"/>
        </w:tcBorders>
      </w:tcPr>
    </w:tblStylePr>
    <w:tblStylePr w:type="lastCol">
      <w:rPr>
        <w:b/>
        <w:color w:val="404040"/>
      </w:rPr>
    </w:tblStylePr>
    <w:tblStylePr w:type="lastRow">
      <w:rPr>
        <w:b/>
        <w:color w:val="404040"/>
      </w:rPr>
      <w:tcPr>
        <w:tcBorders>
          <w:top w:val="single" w:color="000000" w:sz="4" w:space="0" w:themeColor="accent6"/>
        </w:tcBorders>
      </w:tcPr>
    </w:tblStylePr>
  </w:style>
  <w:style w:type="table" w:styleId="81">
    <w:name w:val="Grid Table 5 Dark"/>
    <w:basedOn w:val="642"/>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Fill="text1" w:themeFillTint="40" w:themeColor="text1" w:themeTint="40"/>
    </w:tblPr>
    <w:tblStylePr w:type="band1Horz">
      <w:tcPr>
        <w:shd w:val="clear" w:color="FFFFFF" w:themeFill="text1" w:themeFillTint="75" w:themeColor="text1" w:themeTint="75"/>
      </w:tcPr>
    </w:tblStylePr>
    <w:tblStylePr w:type="band1Vert">
      <w:tcPr>
        <w:shd w:val="clear" w:color="FFFFFF" w:themeFill="text1" w:themeFillTint="75" w:themeColor="text1" w:themeTint="75"/>
      </w:tcPr>
    </w:tblStylePr>
    <w:tblStylePr w:type="firstCol">
      <w:rPr>
        <w:rFonts w:ascii="Arial" w:hAnsi="Arial"/>
        <w:b/>
        <w:color w:val="FFFFFF"/>
        <w:sz w:val="22"/>
      </w:rPr>
      <w:tcPr>
        <w:shd w:val="clear" w:color="FFFFFF" w:themeFill="text1" w:themeColor="text1"/>
      </w:tcPr>
    </w:tblStylePr>
    <w:tblStylePr w:type="firstRow">
      <w:rPr>
        <w:rFonts w:ascii="Arial" w:hAnsi="Arial"/>
        <w:b/>
        <w:color w:val="FFFFFF"/>
        <w:sz w:val="22"/>
      </w:rPr>
      <w:tcPr>
        <w:shd w:val="clear" w:color="FFFFFF" w:themeFill="text1" w:themeColor="text1"/>
      </w:tcPr>
    </w:tblStylePr>
    <w:tblStylePr w:type="lastCol">
      <w:rPr>
        <w:rFonts w:ascii="Arial" w:hAnsi="Arial"/>
        <w:b/>
        <w:color w:val="FFFFFF"/>
        <w:sz w:val="22"/>
      </w:rPr>
      <w:tcPr>
        <w:shd w:val="clear" w:color="FFFFFF" w:themeFill="text1" w:themeColor="text1"/>
      </w:tcPr>
    </w:tblStylePr>
    <w:tblStylePr w:type="lastRow">
      <w:rPr>
        <w:rFonts w:ascii="Arial" w:hAnsi="Arial"/>
        <w:b/>
        <w:color w:val="FFFFFF"/>
        <w:sz w:val="22"/>
      </w:rPr>
      <w:tcPr>
        <w:shd w:val="clear" w:color="FFFFFF" w:themeFill="text1" w:themeColor="text1"/>
        <w:tcBorders>
          <w:top w:val="single" w:color="000000" w:sz="4" w:space="0" w:themeColor="light1"/>
        </w:tcBorders>
      </w:tcPr>
    </w:tblStylePr>
  </w:style>
  <w:style w:type="table" w:styleId="82">
    <w:name w:val="Grid Table 5 Dark- Accent 1"/>
    <w:basedOn w:val="642"/>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Fill="accent1" w:themeFillTint="34" w:themeColor="accent1" w:themeTint="34"/>
    </w:tblPr>
    <w:tblStylePr w:type="band1Horz">
      <w:tcPr>
        <w:shd w:val="clear" w:color="FFFFFF" w:themeFill="accent1" w:themeFillTint="75" w:themeColor="accent1" w:themeTint="75"/>
      </w:tcPr>
    </w:tblStylePr>
    <w:tblStylePr w:type="band1Vert">
      <w:tcPr>
        <w:shd w:val="clear" w:color="FFFFFF" w:themeFill="accent1" w:themeFillTint="75" w:themeColor="accent1" w:themeTint="75"/>
      </w:tcPr>
    </w:tblStylePr>
    <w:tblStylePr w:type="firstCol">
      <w:rPr>
        <w:rFonts w:ascii="Arial" w:hAnsi="Arial"/>
        <w:b/>
        <w:color w:val="FFFFFF"/>
        <w:sz w:val="22"/>
      </w:rPr>
      <w:tcPr>
        <w:shd w:val="clear" w:color="FFFFFF" w:themeFill="accent1" w:themeColor="accent1"/>
      </w:tcPr>
    </w:tblStylePr>
    <w:tblStylePr w:type="firstRow">
      <w:rPr>
        <w:rFonts w:ascii="Arial" w:hAnsi="Arial"/>
        <w:b/>
        <w:color w:val="FFFFFF"/>
        <w:sz w:val="22"/>
      </w:rPr>
      <w:tcPr>
        <w:shd w:val="clear" w:color="FFFFFF" w:themeFill="accent1" w:themeColor="accent1"/>
      </w:tcPr>
    </w:tblStylePr>
    <w:tblStylePr w:type="lastCol">
      <w:rPr>
        <w:rFonts w:ascii="Arial" w:hAnsi="Arial"/>
        <w:b/>
        <w:color w:val="FFFFFF"/>
        <w:sz w:val="22"/>
      </w:rPr>
      <w:tcPr>
        <w:shd w:val="clear" w:color="FFFFFF" w:themeFill="accent1" w:themeColor="accent1"/>
      </w:tcPr>
    </w:tblStylePr>
    <w:tblStylePr w:type="lastRow">
      <w:rPr>
        <w:rFonts w:ascii="Arial" w:hAnsi="Arial"/>
        <w:b/>
        <w:color w:val="FFFFFF"/>
        <w:sz w:val="22"/>
      </w:rPr>
      <w:tcPr>
        <w:shd w:val="clear" w:color="FFFFFF" w:themeFill="accent1" w:themeColor="accent1"/>
        <w:tcBorders>
          <w:top w:val="single" w:color="000000" w:sz="4" w:space="0" w:themeColor="light1"/>
        </w:tcBorders>
      </w:tcPr>
    </w:tblStylePr>
  </w:style>
  <w:style w:type="table" w:styleId="83">
    <w:name w:val="Grid Table 5 Dark - Accent 2"/>
    <w:basedOn w:val="642"/>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Fill="accent2" w:themeFillTint="32" w:themeColor="accent2" w:themeTint="32"/>
    </w:tblPr>
    <w:tblStylePr w:type="band1Horz">
      <w:tcPr>
        <w:shd w:val="clear" w:color="FFFFFF" w:themeFill="accent2" w:themeFillTint="75" w:themeColor="accent2" w:themeTint="75"/>
      </w:tcPr>
    </w:tblStylePr>
    <w:tblStylePr w:type="band1Vert">
      <w:tcPr>
        <w:shd w:val="clear" w:color="FFFFFF" w:themeFill="accent2" w:themeFillTint="75" w:themeColor="accent2" w:themeTint="75"/>
      </w:tcPr>
    </w:tblStylePr>
    <w:tblStylePr w:type="firstCol">
      <w:rPr>
        <w:rFonts w:ascii="Arial" w:hAnsi="Arial"/>
        <w:b/>
        <w:color w:val="FFFFFF"/>
        <w:sz w:val="22"/>
      </w:rPr>
      <w:tcPr>
        <w:shd w:val="clear" w:color="FFFFFF" w:themeFill="accent2" w:themeColor="accent2"/>
      </w:tcPr>
    </w:tblStylePr>
    <w:tblStylePr w:type="firstRow">
      <w:rPr>
        <w:rFonts w:ascii="Arial" w:hAnsi="Arial"/>
        <w:b/>
        <w:color w:val="FFFFFF"/>
        <w:sz w:val="22"/>
      </w:rPr>
      <w:tcPr>
        <w:shd w:val="clear" w:color="FFFFFF" w:themeFill="accent2" w:themeColor="accent2"/>
      </w:tcPr>
    </w:tblStylePr>
    <w:tblStylePr w:type="lastCol">
      <w:rPr>
        <w:rFonts w:ascii="Arial" w:hAnsi="Arial"/>
        <w:b/>
        <w:color w:val="FFFFFF"/>
        <w:sz w:val="22"/>
      </w:rPr>
      <w:tcPr>
        <w:shd w:val="clear" w:color="FFFFFF" w:themeFill="accent2" w:themeColor="accent2"/>
      </w:tcPr>
    </w:tblStylePr>
    <w:tblStylePr w:type="lastRow">
      <w:rPr>
        <w:rFonts w:ascii="Arial" w:hAnsi="Arial"/>
        <w:b/>
        <w:color w:val="FFFFFF"/>
        <w:sz w:val="22"/>
      </w:rPr>
      <w:tcPr>
        <w:shd w:val="clear" w:color="FFFFFF" w:themeFill="accent2" w:themeColor="accent2"/>
        <w:tcBorders>
          <w:top w:val="single" w:color="000000" w:sz="4" w:space="0" w:themeColor="light1"/>
        </w:tcBorders>
      </w:tcPr>
    </w:tblStylePr>
  </w:style>
  <w:style w:type="table" w:styleId="84">
    <w:name w:val="Grid Table 5 Dark - Accent 3"/>
    <w:basedOn w:val="642"/>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Fill="accent3" w:themeFillTint="34" w:themeColor="accent3" w:themeTint="34"/>
    </w:tblPr>
    <w:tblStylePr w:type="band1Horz">
      <w:tcPr>
        <w:shd w:val="clear" w:color="FFFFFF" w:themeFill="accent3" w:themeFillTint="75" w:themeColor="accent3" w:themeTint="75"/>
      </w:tcPr>
    </w:tblStylePr>
    <w:tblStylePr w:type="band1Vert">
      <w:tcPr>
        <w:shd w:val="clear" w:color="FFFFFF" w:themeFill="accent3" w:themeFillTint="75" w:themeColor="accent3" w:themeTint="75"/>
      </w:tcPr>
    </w:tblStylePr>
    <w:tblStylePr w:type="firstCol">
      <w:rPr>
        <w:rFonts w:ascii="Arial" w:hAnsi="Arial"/>
        <w:b/>
        <w:color w:val="FFFFFF"/>
        <w:sz w:val="22"/>
      </w:rPr>
      <w:tcPr>
        <w:shd w:val="clear" w:color="FFFFFF" w:themeFill="accent3" w:themeColor="accent3"/>
      </w:tcPr>
    </w:tblStylePr>
    <w:tblStylePr w:type="firstRow">
      <w:rPr>
        <w:rFonts w:ascii="Arial" w:hAnsi="Arial"/>
        <w:b/>
        <w:color w:val="FFFFFF"/>
        <w:sz w:val="22"/>
      </w:rPr>
      <w:tcPr>
        <w:shd w:val="clear" w:color="FFFFFF" w:themeFill="accent3" w:themeColor="accent3"/>
      </w:tcPr>
    </w:tblStylePr>
    <w:tblStylePr w:type="lastCol">
      <w:rPr>
        <w:rFonts w:ascii="Arial" w:hAnsi="Arial"/>
        <w:b/>
        <w:color w:val="FFFFFF"/>
        <w:sz w:val="22"/>
      </w:rPr>
      <w:tcPr>
        <w:shd w:val="clear" w:color="FFFFFF" w:themeFill="accent3" w:themeColor="accent3"/>
      </w:tcPr>
    </w:tblStylePr>
    <w:tblStylePr w:type="lastRow">
      <w:rPr>
        <w:rFonts w:ascii="Arial" w:hAnsi="Arial"/>
        <w:b/>
        <w:color w:val="FFFFFF"/>
        <w:sz w:val="22"/>
      </w:rPr>
      <w:tcPr>
        <w:shd w:val="clear" w:color="FFFFFF" w:themeFill="accent3" w:themeColor="accent3"/>
        <w:tcBorders>
          <w:top w:val="single" w:color="000000" w:sz="4" w:space="0" w:themeColor="light1"/>
        </w:tcBorders>
      </w:tcPr>
    </w:tblStylePr>
  </w:style>
  <w:style w:type="table" w:styleId="85">
    <w:name w:val="Grid Table 5 Dark- Accent 4"/>
    <w:basedOn w:val="642"/>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Fill="accent4" w:themeFillTint="34" w:themeColor="accent4" w:themeTint="34"/>
    </w:tblPr>
    <w:tblStylePr w:type="band1Horz">
      <w:tcPr>
        <w:shd w:val="clear" w:color="FFFFFF" w:themeFill="accent4" w:themeFillTint="75" w:themeColor="accent4" w:themeTint="75"/>
      </w:tcPr>
    </w:tblStylePr>
    <w:tblStylePr w:type="band1Vert">
      <w:tcPr>
        <w:shd w:val="clear" w:color="FFFFFF" w:themeFill="accent4" w:themeFillTint="75" w:themeColor="accent4" w:themeTint="75"/>
      </w:tcPr>
    </w:tblStylePr>
    <w:tblStylePr w:type="firstCol">
      <w:rPr>
        <w:rFonts w:ascii="Arial" w:hAnsi="Arial"/>
        <w:b/>
        <w:color w:val="FFFFFF"/>
        <w:sz w:val="22"/>
      </w:rPr>
      <w:tcPr>
        <w:shd w:val="clear" w:color="FFFFFF" w:themeFill="accent4" w:themeColor="accent4"/>
      </w:tcPr>
    </w:tblStylePr>
    <w:tblStylePr w:type="firstRow">
      <w:rPr>
        <w:rFonts w:ascii="Arial" w:hAnsi="Arial"/>
        <w:b/>
        <w:color w:val="FFFFFF"/>
        <w:sz w:val="22"/>
      </w:rPr>
      <w:tcPr>
        <w:shd w:val="clear" w:color="FFFFFF" w:themeFill="accent4" w:themeColor="accent4"/>
      </w:tcPr>
    </w:tblStylePr>
    <w:tblStylePr w:type="lastCol">
      <w:rPr>
        <w:rFonts w:ascii="Arial" w:hAnsi="Arial"/>
        <w:b/>
        <w:color w:val="FFFFFF"/>
        <w:sz w:val="22"/>
      </w:rPr>
      <w:tcPr>
        <w:shd w:val="clear" w:color="FFFFFF" w:themeFill="accent4" w:themeColor="accent4"/>
      </w:tcPr>
    </w:tblStylePr>
    <w:tblStylePr w:type="lastRow">
      <w:rPr>
        <w:rFonts w:ascii="Arial" w:hAnsi="Arial"/>
        <w:b/>
        <w:color w:val="FFFFFF"/>
        <w:sz w:val="22"/>
      </w:rPr>
      <w:tcPr>
        <w:shd w:val="clear" w:color="FFFFFF" w:themeFill="accent4" w:themeColor="accent4"/>
        <w:tcBorders>
          <w:top w:val="single" w:color="000000" w:sz="4" w:space="0" w:themeColor="light1"/>
        </w:tcBorders>
      </w:tcPr>
    </w:tblStylePr>
  </w:style>
  <w:style w:type="table" w:styleId="86">
    <w:name w:val="Grid Table 5 Dark - Accent 5"/>
    <w:basedOn w:val="642"/>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Fill="accent5" w:themeFillTint="34" w:themeColor="accent5" w:themeTint="34"/>
    </w:tblPr>
    <w:tblStylePr w:type="band1Horz">
      <w:tcPr>
        <w:shd w:val="clear" w:color="FFFFFF" w:themeFill="accent5" w:themeFillTint="75" w:themeColor="accent5" w:themeTint="75"/>
      </w:tcPr>
    </w:tblStylePr>
    <w:tblStylePr w:type="band1Vert">
      <w:tcPr>
        <w:shd w:val="clear" w:color="FFFFFF" w:themeFill="accent5" w:themeFillTint="75" w:themeColor="accent5" w:themeTint="75"/>
      </w:tcPr>
    </w:tblStylePr>
    <w:tblStylePr w:type="firstCol">
      <w:rPr>
        <w:rFonts w:ascii="Arial" w:hAnsi="Arial"/>
        <w:b/>
        <w:color w:val="FFFFFF"/>
        <w:sz w:val="22"/>
      </w:rPr>
      <w:tcPr>
        <w:shd w:val="clear" w:color="FFFFFF" w:themeFill="accent5" w:themeColor="accent5"/>
      </w:tcPr>
    </w:tblStylePr>
    <w:tblStylePr w:type="firstRow">
      <w:rPr>
        <w:rFonts w:ascii="Arial" w:hAnsi="Arial"/>
        <w:b/>
        <w:color w:val="FFFFFF"/>
        <w:sz w:val="22"/>
      </w:rPr>
      <w:tcPr>
        <w:shd w:val="clear" w:color="FFFFFF" w:themeFill="accent5" w:themeColor="accent5"/>
      </w:tcPr>
    </w:tblStylePr>
    <w:tblStylePr w:type="lastCol">
      <w:rPr>
        <w:rFonts w:ascii="Arial" w:hAnsi="Arial"/>
        <w:b/>
        <w:color w:val="FFFFFF"/>
        <w:sz w:val="22"/>
      </w:rPr>
      <w:tcPr>
        <w:shd w:val="clear" w:color="FFFFFF" w:themeFill="accent5" w:themeColor="accent5"/>
      </w:tcPr>
    </w:tblStylePr>
    <w:tblStylePr w:type="lastRow">
      <w:rPr>
        <w:rFonts w:ascii="Arial" w:hAnsi="Arial"/>
        <w:b/>
        <w:color w:val="FFFFFF"/>
        <w:sz w:val="22"/>
      </w:rPr>
      <w:tcPr>
        <w:shd w:val="clear" w:color="FFFFFF" w:themeFill="accent5" w:themeColor="accent5"/>
        <w:tcBorders>
          <w:top w:val="single" w:color="000000" w:sz="4" w:space="0" w:themeColor="light1"/>
        </w:tcBorders>
      </w:tcPr>
    </w:tblStylePr>
  </w:style>
  <w:style w:type="table" w:styleId="87">
    <w:name w:val="Grid Table 5 Dark - Accent 6"/>
    <w:basedOn w:val="642"/>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Fill="accent6" w:themeFillTint="34" w:themeColor="accent6" w:themeTint="34"/>
    </w:tblPr>
    <w:tblStylePr w:type="band1Horz">
      <w:tcPr>
        <w:shd w:val="clear" w:color="FFFFFF" w:themeFill="accent6" w:themeFillTint="75" w:themeColor="accent6" w:themeTint="75"/>
      </w:tcPr>
    </w:tblStylePr>
    <w:tblStylePr w:type="band1Vert">
      <w:tcPr>
        <w:shd w:val="clear" w:color="FFFFFF" w:themeFill="accent6" w:themeFillTint="75" w:themeColor="accent6" w:themeTint="75"/>
      </w:tcPr>
    </w:tblStylePr>
    <w:tblStylePr w:type="firstCol">
      <w:rPr>
        <w:rFonts w:ascii="Arial" w:hAnsi="Arial"/>
        <w:b/>
        <w:color w:val="FFFFFF"/>
        <w:sz w:val="22"/>
      </w:rPr>
      <w:tcPr>
        <w:shd w:val="clear" w:color="FFFFFF" w:themeFill="accent6" w:themeColor="accent6"/>
      </w:tcPr>
    </w:tblStylePr>
    <w:tblStylePr w:type="firstRow">
      <w:rPr>
        <w:rFonts w:ascii="Arial" w:hAnsi="Arial"/>
        <w:b/>
        <w:color w:val="FFFFFF"/>
        <w:sz w:val="22"/>
      </w:rPr>
      <w:tcPr>
        <w:shd w:val="clear" w:color="FFFFFF" w:themeFill="accent6" w:themeColor="accent6"/>
      </w:tcPr>
    </w:tblStylePr>
    <w:tblStylePr w:type="lastCol">
      <w:rPr>
        <w:rFonts w:ascii="Arial" w:hAnsi="Arial"/>
        <w:b/>
        <w:color w:val="FFFFFF"/>
        <w:sz w:val="22"/>
      </w:rPr>
      <w:tcPr>
        <w:shd w:val="clear" w:color="FFFFFF" w:themeFill="accent6" w:themeColor="accent6"/>
      </w:tcPr>
    </w:tblStylePr>
    <w:tblStylePr w:type="lastRow">
      <w:rPr>
        <w:rFonts w:ascii="Arial" w:hAnsi="Arial"/>
        <w:b/>
        <w:color w:val="FFFFFF"/>
        <w:sz w:val="22"/>
      </w:rPr>
      <w:tcPr>
        <w:shd w:val="clear" w:color="FFFFFF" w:themeFill="accent6" w:themeColor="accent6"/>
        <w:tcBorders>
          <w:top w:val="single" w:color="000000" w:sz="4" w:space="0" w:themeColor="light1"/>
        </w:tcBorders>
      </w:tcPr>
    </w:tblStylePr>
  </w:style>
  <w:style w:type="table" w:styleId="88">
    <w:name w:val="Grid Table 6 Colorful"/>
    <w:basedOn w:val="642"/>
    <w:uiPriority w:val="99"/>
    <w:pPr>
      <w:spacing w:lineRule="auto" w:line="240" w:after="0"/>
    </w:pPr>
    <w:tblPr>
      <w:tblStyleRowBandSize w:val="1"/>
      <w:tblStyleColBandSize w:val="1"/>
      <w:tblInd w:w="0" w:type="dxa"/>
      <w:tblBorders>
        <w:left w:val="single" w:color="000000" w:sz="4" w:space="0" w:themeColor="text1" w:themeTint="80"/>
        <w:top w:val="single" w:color="000000" w:sz="4" w:space="0" w:themeColor="text1" w:themeTint="80"/>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04040" w:themeColor="text1" w:themeTint="80" w:themeShade="95"/>
        <w:sz w:val="22"/>
      </w:rPr>
      <w:tcPr>
        <w:shd w:val="clear" w:color="FFFFFF" w:themeFill="text1" w:themeFillTint="34" w:themeColor="text1" w:themeTint="34"/>
      </w:tcPr>
    </w:tblStylePr>
    <w:tblStylePr w:type="band1Vert">
      <w:tcPr>
        <w:shd w:val="clear" w:color="FFFFFF" w:themeFill="text1" w:themeFillTint="34" w:themeColor="text1" w:theme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sz="12" w:space="0" w:themeColor="text1" w:themeTint="8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89">
    <w:name w:val="Grid Table 6 Colorful - Accent 1"/>
    <w:basedOn w:val="642"/>
    <w:uiPriority w:val="99"/>
    <w:pPr>
      <w:spacing w:lineRule="auto" w:line="240" w:after="0"/>
    </w:pPr>
    <w:tblPr>
      <w:tblStyleRowBandSize w:val="1"/>
      <w:tblStyleColBandSize w:val="1"/>
      <w:tblInd w:w="0" w:type="dxa"/>
      <w:tblBorders>
        <w:left w:val="single" w:color="000000" w:sz="4" w:space="0" w:themeColor="accent1" w:themeTint="80"/>
        <w:top w:val="single" w:color="000000" w:sz="4" w:space="0" w:themeColor="accent1" w:themeTint="80"/>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404040" w:themeColor="accent1" w:themeTint="80" w:themeShade="95"/>
        <w:sz w:val="22"/>
      </w:rPr>
      <w:tcPr>
        <w:shd w:val="clear" w:color="FFFFFF" w:themeFill="accent1" w:themeFillTint="34" w:themeColor="accent1" w:themeTint="34"/>
      </w:tcPr>
    </w:tblStylePr>
    <w:tblStylePr w:type="band1Vert">
      <w:tcPr>
        <w:shd w:val="clear" w:color="FFFFFF" w:themeFill="accent1" w:themeFillTint="34" w:themeColor="accent1" w:theme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sz="12" w:space="0" w:themeColor="accent1" w:themeTint="8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0">
    <w:name w:val="Grid Table 6 Colorful - Accent 2"/>
    <w:basedOn w:val="642"/>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themeColor="accent2" w:themeTint="97" w:themeShade="95"/>
        <w:sz w:val="22"/>
      </w:rPr>
      <w:tcPr>
        <w:shd w:val="clear" w:color="FFFFFF" w:themeFill="accent2" w:themeFillTint="32" w:themeColor="accent2" w:themeTint="32"/>
      </w:tcPr>
    </w:tblStylePr>
    <w:tblStylePr w:type="band1Vert">
      <w:tcPr>
        <w:shd w:val="clear" w:color="FFFFFF" w:themeFill="accent2" w:themeFillTint="32" w:themeColor="accent2" w:theme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sz="12" w:space="0" w:themeColor="accent2" w:themeTint="97"/>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1">
    <w:name w:val="Grid Table 6 Colorful - Accent 3"/>
    <w:basedOn w:val="642"/>
    <w:uiPriority w:val="99"/>
    <w:pPr>
      <w:spacing w:lineRule="auto" w:line="240" w:after="0"/>
    </w:pPr>
    <w:tblPr>
      <w:tblStyleRowBandSize w:val="1"/>
      <w:tblStyleColBandSize w:val="1"/>
      <w:tblInd w:w="0" w:type="dxa"/>
      <w:tbl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themeColor="accent3" w:themeTint="FE" w:themeShade="95"/>
        <w:sz w:val="22"/>
      </w:rPr>
      <w:tcPr>
        <w:shd w:val="clear" w:color="FFFFFF" w:themeFill="accent3" w:themeFillTint="34" w:themeColor="accent3" w:themeTint="34"/>
      </w:tcPr>
    </w:tblStylePr>
    <w:tblStylePr w:type="band1Vert">
      <w:tcPr>
        <w:shd w:val="clear" w:color="FFFFFF" w:themeFill="accent3" w:themeFillTint="34" w:themeColor="accent3" w:theme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sz="12" w:space="0" w:themeColor="accent3" w:themeTint="FE"/>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2">
    <w:name w:val="Grid Table 6 Colorful - Accent 4"/>
    <w:basedOn w:val="642"/>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themeColor="accent4" w:themeTint="9A" w:themeShade="95"/>
        <w:sz w:val="22"/>
      </w:rPr>
      <w:tcPr>
        <w:shd w:val="clear" w:color="FFFFFF" w:themeFill="accent4" w:themeFillTint="34" w:themeColor="accent4" w:themeTint="34"/>
      </w:tcPr>
    </w:tblStylePr>
    <w:tblStylePr w:type="band1Vert">
      <w:tcPr>
        <w:shd w:val="clear" w:color="FFFFFF" w:themeFill="accent4" w:themeFillTint="34" w:themeColor="accent4" w:theme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sz="12" w:space="0" w:themeColor="accent4" w:themeTint="9A"/>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3">
    <w:name w:val="Grid Table 6 Colorful - Accent 5"/>
    <w:basedOn w:val="642"/>
    <w:uiPriority w:val="99"/>
    <w:pPr>
      <w:spacing w:lineRule="auto" w:line="240" w:after="0"/>
    </w:pPr>
    <w:tblPr>
      <w:tblStyleRowBandSize w:val="1"/>
      <w:tblStyleColBandSize w:val="1"/>
      <w:tblInd w:w="0" w:type="dxa"/>
      <w:tblBorders>
        <w:left w:val="single" w:color="000000" w:sz="4" w:space="0" w:themeColor="accent5"/>
        <w:top w:val="single" w:color="000000" w:sz="4" w:space="0" w:themeColor="accent5"/>
        <w:right w:val="single" w:color="000000" w:sz="4" w:space="0" w:themeColor="accent5"/>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themeColor="accent5" w:themeShade="95"/>
        <w:sz w:val="22"/>
      </w:rPr>
      <w:tcPr>
        <w:shd w:val="clear" w:color="FFFFFF" w:themeFill="accent5" w:themeFillTint="34" w:themeColor="accent5" w:themeTint="34"/>
      </w:tcPr>
    </w:tblStylePr>
    <w:tblStylePr w:type="band1Vert">
      <w:tcPr>
        <w:shd w:val="clear" w:color="FFFFFF" w:themeFill="accent5" w:themeFillTint="34" w:themeColor="accent5" w:theme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sz="12" w:space="0" w:themeColor="accent5"/>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4">
    <w:name w:val="Grid Table 6 Colorful - Accent 6"/>
    <w:basedOn w:val="642"/>
    <w:uiPriority w:val="99"/>
    <w:pPr>
      <w:spacing w:lineRule="auto" w:line="240" w:after="0"/>
    </w:pPr>
    <w:tblPr>
      <w:tblStyleRowBandSize w:val="1"/>
      <w:tblStyleColBandSize w:val="1"/>
      <w:tblInd w:w="0" w:type="dxa"/>
      <w:tblBorders>
        <w:left w:val="single" w:color="000000" w:sz="4" w:space="0" w:themeColor="accent6"/>
        <w:top w:val="single" w:color="000000" w:sz="4" w:space="0" w:themeColor="accent6"/>
        <w:right w:val="single" w:color="000000" w:sz="4" w:space="0" w:themeColor="accent6"/>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themeColor="accent5" w:themeShade="95"/>
        <w:sz w:val="22"/>
      </w:rPr>
      <w:tcPr>
        <w:shd w:val="clear" w:color="FFFFFF" w:themeFill="accent6" w:themeFillTint="34" w:themeColor="accent6" w:themeTint="34"/>
      </w:tcPr>
    </w:tblStylePr>
    <w:tblStylePr w:type="band1Vert">
      <w:tcPr>
        <w:shd w:val="clear" w:color="FFFFFF" w:themeFill="accent6" w:themeFillTint="34" w:themeColor="accent6" w:theme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sz="12" w:space="0" w:themeColor="accent6"/>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5">
    <w:name w:val="Grid Table 7 Colorful"/>
    <w:basedOn w:val="642"/>
    <w:uiPriority w:val="99"/>
    <w:pPr>
      <w:spacing w:lineRule="auto" w:line="240" w:after="0"/>
    </w:pPr>
    <w:tblPr>
      <w:tblStyleRowBandSize w:val="1"/>
      <w:tblStyleColBandSize w:val="1"/>
      <w:tblInd w:w="0" w:type="dxa"/>
      <w:tblBorders>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A4A4A" w:themeColor="text1" w:themeTint="80" w:themeShade="95"/>
        <w:sz w:val="22"/>
      </w:rPr>
      <w:tcPr>
        <w:shd w:val="clear" w:color="FFFFFF" w:themeFill="text1" w:themeFillTint="0D" w:themeColor="text1" w:themeTint="0D"/>
      </w:tcPr>
    </w:tblStylePr>
    <w:tblStylePr w:type="band1Vert">
      <w:tcPr>
        <w:shd w:val="clear" w:color="FFFFFF" w:themeFill="text1" w:themeFillTint="0D" w:themeColor="text1" w:theme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left w:val="none"/>
          <w:top w:val="none"/>
          <w:right w:val="single" w:color="000000" w:sz="4" w:space="0" w:themeColor="text1" w:themeTint="80"/>
          <w:bottom w:val="none"/>
        </w:tcBorders>
      </w:tcPr>
    </w:tblStylePr>
    <w:tblStylePr w:type="firstRow">
      <w:rPr>
        <w:rFonts w:ascii="Arial" w:hAnsi="Arial"/>
        <w:b/>
        <w:color w:val="4A4A4A" w:themeColor="text1" w:themeTint="80" w:themeShade="95"/>
        <w:sz w:val="22"/>
      </w:rPr>
      <w:tcPr>
        <w:shd w:val="clear" w:color="FFFFFF" w:themeFill="light1" w:themeColor="light1"/>
        <w:tcBorders>
          <w:left w:val="none"/>
          <w:top w:val="none"/>
          <w:right w:val="none"/>
          <w:bottom w:val="single" w:color="000000" w:sz="4" w:space="0" w:themeColor="text1" w:themeTint="80"/>
        </w:tcBorders>
      </w:tcPr>
    </w:tblStylePr>
    <w:tblStylePr w:type="lastCol">
      <w:rPr>
        <w:rFonts w:ascii="Arial" w:hAnsi="Arial"/>
        <w:i/>
        <w:color w:val="4A4A4A" w:themeColor="text1" w:themeTint="80" w:themeShade="95"/>
        <w:sz w:val="22"/>
      </w:rPr>
      <w:tcPr>
        <w:shd w:color="FFFFFF"/>
        <w:tcBorders>
          <w:left w:val="single" w:color="000000" w:sz="4" w:space="0" w:themeColor="text1" w:themeTint="80"/>
          <w:top w:val="none"/>
          <w:right w:val="none"/>
          <w:bottom w:val="none"/>
        </w:tcBorders>
      </w:tcPr>
    </w:tblStylePr>
    <w:tblStylePr w:type="lastRow">
      <w:rPr>
        <w:rFonts w:ascii="Arial" w:hAnsi="Arial"/>
        <w:b/>
        <w:color w:val="4A4A4A" w:themeColor="text1" w:themeTint="80" w:themeShade="95"/>
        <w:sz w:val="22"/>
      </w:rPr>
      <w:tcPr>
        <w:shd w:val="clear" w:color="FFFFFF" w:themeFill="light1" w:themeColor="light1"/>
        <w:tcBorders>
          <w:left w:val="none"/>
          <w:top w:val="single" w:color="000000" w:sz="4" w:space="0" w:themeColor="text1" w:themeTint="80"/>
          <w:right w:val="none"/>
          <w:bottom w:val="none"/>
        </w:tcBorders>
      </w:tcPr>
    </w:tblStylePr>
  </w:style>
  <w:style w:type="table" w:styleId="96">
    <w:name w:val="Grid Table 7 Colorful - Accent 1"/>
    <w:basedOn w:val="642"/>
    <w:uiPriority w:val="99"/>
    <w:pPr>
      <w:spacing w:lineRule="auto" w:line="240" w:after="0"/>
    </w:pPr>
    <w:tblPr>
      <w:tblStyleRowBandSize w:val="1"/>
      <w:tblStyleColBandSize w:val="1"/>
      <w:tblInd w:w="0" w:type="dxa"/>
      <w:tblBorders>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3E70A3" w:themeColor="accent1" w:themeTint="80" w:themeShade="95"/>
        <w:sz w:val="22"/>
      </w:rPr>
      <w:tcPr>
        <w:shd w:val="clear" w:color="FFFFFF" w:themeFill="accent1" w:themeFillTint="34" w:themeColor="accent1" w:themeTint="34"/>
      </w:tcPr>
    </w:tblStylePr>
    <w:tblStylePr w:type="band1Vert">
      <w:tcPr>
        <w:shd w:val="clear" w:color="FFFFFF" w:themeFill="accent1" w:themeFillTint="34" w:themeColor="accent1" w:theme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left w:val="none"/>
          <w:top w:val="none"/>
          <w:right w:val="single" w:color="000000" w:sz="4" w:space="0" w:themeColor="accent1" w:themeTint="80"/>
          <w:bottom w:val="none"/>
        </w:tcBorders>
      </w:tcPr>
    </w:tblStylePr>
    <w:tblStylePr w:type="firstRow">
      <w:rPr>
        <w:rFonts w:ascii="Arial" w:hAnsi="Arial"/>
        <w:b/>
        <w:color w:val="3E70A3" w:themeColor="accent1" w:themeTint="80" w:themeShade="95"/>
        <w:sz w:val="22"/>
      </w:rPr>
      <w:tcPr>
        <w:shd w:val="clear" w:color="FFFFFF" w:themeFill="light1" w:themeColor="light1"/>
        <w:tcBorders>
          <w:left w:val="none"/>
          <w:top w:val="none"/>
          <w:right w:val="none"/>
          <w:bottom w:val="single" w:color="000000" w:sz="4" w:space="0" w:themeColor="accent1" w:themeTint="80"/>
        </w:tcBorders>
      </w:tcPr>
    </w:tblStylePr>
    <w:tblStylePr w:type="lastCol">
      <w:rPr>
        <w:rFonts w:ascii="Arial" w:hAnsi="Arial"/>
        <w:i/>
        <w:color w:val="3E70A3" w:themeColor="accent1" w:themeTint="80" w:themeShade="95"/>
        <w:sz w:val="22"/>
      </w:rPr>
      <w:tcPr>
        <w:shd w:color="FFFFFF"/>
        <w:tcBorders>
          <w:left w:val="single" w:color="000000" w:sz="4" w:space="0" w:themeColor="accent1" w:themeTint="80"/>
          <w:top w:val="none"/>
          <w:right w:val="none"/>
          <w:bottom w:val="none"/>
        </w:tcBorders>
      </w:tcPr>
    </w:tblStylePr>
    <w:tblStylePr w:type="lastRow">
      <w:rPr>
        <w:rFonts w:ascii="Arial" w:hAnsi="Arial"/>
        <w:b/>
        <w:color w:val="3E70A3" w:themeColor="accent1" w:themeTint="80" w:themeShade="95"/>
        <w:sz w:val="22"/>
      </w:rPr>
      <w:tcPr>
        <w:shd w:val="clear" w:color="FFFFFF" w:themeFill="light1" w:themeColor="light1"/>
        <w:tcBorders>
          <w:left w:val="none"/>
          <w:top w:val="single" w:color="000000" w:sz="4" w:space="0" w:themeColor="accent1" w:themeTint="80"/>
          <w:right w:val="none"/>
          <w:bottom w:val="none"/>
        </w:tcBorders>
      </w:tcPr>
    </w:tblStylePr>
  </w:style>
  <w:style w:type="table" w:styleId="97">
    <w:name w:val="Grid Table 7 Colorful - Accent 2"/>
    <w:basedOn w:val="642"/>
    <w:uiPriority w:val="99"/>
    <w:pPr>
      <w:spacing w:lineRule="auto" w:line="240" w:after="0"/>
    </w:pPr>
    <w:tblPr>
      <w:tblStyleRowBandSize w:val="1"/>
      <w:tblStyleColBandSize w:val="1"/>
      <w:tblInd w:w="0" w:type="dxa"/>
      <w:tblBorders>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9C3A37" w:themeColor="accent2" w:themeTint="97" w:themeShade="95"/>
        <w:sz w:val="22"/>
      </w:rPr>
      <w:tcPr>
        <w:shd w:val="clear" w:color="FFFFFF" w:themeFill="accent2" w:themeFillTint="32" w:themeColor="accent2" w:themeTint="32"/>
      </w:tcPr>
    </w:tblStylePr>
    <w:tblStylePr w:type="band1Vert">
      <w:tcPr>
        <w:shd w:val="clear" w:color="FFFFFF" w:themeFill="accent2" w:themeFillTint="32" w:themeColor="accent2" w:theme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left w:val="none"/>
          <w:top w:val="none"/>
          <w:right w:val="single" w:color="000000" w:sz="4" w:space="0" w:themeColor="accent2" w:themeTint="97"/>
          <w:bottom w:val="none"/>
        </w:tcBorders>
      </w:tcPr>
    </w:tblStylePr>
    <w:tblStylePr w:type="firstRow">
      <w:rPr>
        <w:rFonts w:ascii="Arial" w:hAnsi="Arial"/>
        <w:b/>
        <w:color w:val="9C3A37" w:themeColor="accent2" w:themeTint="97" w:themeShade="95"/>
        <w:sz w:val="22"/>
      </w:rPr>
      <w:tcPr>
        <w:shd w:val="clear" w:color="FFFFFF" w:themeFill="light1" w:themeColor="light1"/>
        <w:tcBorders>
          <w:left w:val="none"/>
          <w:top w:val="none"/>
          <w:right w:val="none"/>
          <w:bottom w:val="single" w:color="000000" w:sz="4" w:space="0" w:themeColor="accent2" w:themeTint="97"/>
        </w:tcBorders>
      </w:tcPr>
    </w:tblStylePr>
    <w:tblStylePr w:type="lastCol">
      <w:rPr>
        <w:rFonts w:ascii="Arial" w:hAnsi="Arial"/>
        <w:i/>
        <w:color w:val="9C3A37" w:themeColor="accent2" w:themeTint="97" w:themeShade="95"/>
        <w:sz w:val="22"/>
      </w:rPr>
      <w:tcPr>
        <w:shd w:color="FFFFFF"/>
        <w:tcBorders>
          <w:left w:val="single" w:color="000000" w:sz="4" w:space="0" w:themeColor="accent2" w:themeTint="97"/>
          <w:top w:val="none"/>
          <w:right w:val="none"/>
          <w:bottom w:val="none"/>
        </w:tcBorders>
      </w:tcPr>
    </w:tblStylePr>
    <w:tblStylePr w:type="lastRow">
      <w:rPr>
        <w:rFonts w:ascii="Arial" w:hAnsi="Arial"/>
        <w:b/>
        <w:color w:val="9C3A37" w:themeColor="accent2" w:themeTint="97" w:themeShade="95"/>
        <w:sz w:val="22"/>
      </w:rPr>
      <w:tcPr>
        <w:shd w:val="clear" w:color="FFFFFF" w:themeFill="light1" w:themeColor="light1"/>
        <w:tcBorders>
          <w:left w:val="none"/>
          <w:top w:val="single" w:color="000000" w:sz="4" w:space="0" w:themeColor="accent2" w:themeTint="97"/>
          <w:right w:val="none"/>
          <w:bottom w:val="none"/>
        </w:tcBorders>
      </w:tcPr>
    </w:tblStylePr>
  </w:style>
  <w:style w:type="table" w:styleId="98">
    <w:name w:val="Grid Table 7 Colorful - Accent 3"/>
    <w:basedOn w:val="642"/>
    <w:uiPriority w:val="99"/>
    <w:pPr>
      <w:spacing w:lineRule="auto" w:line="240" w:after="0"/>
    </w:pPr>
    <w:tblPr>
      <w:tblStyleRowBandSize w:val="1"/>
      <w:tblStyleColBandSize w:val="1"/>
      <w:tblInd w:w="0" w:type="dxa"/>
      <w:tblBorders>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5C702F" w:themeColor="accent3" w:themeTint="FE" w:themeShade="95"/>
        <w:sz w:val="22"/>
      </w:rPr>
      <w:tcPr>
        <w:shd w:val="clear" w:color="FFFFFF" w:themeFill="accent3" w:themeFillTint="34" w:themeColor="accent3" w:themeTint="34"/>
      </w:tcPr>
    </w:tblStylePr>
    <w:tblStylePr w:type="band1Vert">
      <w:tcPr>
        <w:shd w:val="clear" w:color="FFFFFF" w:themeFill="accent3" w:themeFillTint="34" w:themeColor="accent3" w:theme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left w:val="none"/>
          <w:top w:val="none"/>
          <w:right w:val="single" w:color="000000" w:sz="4" w:space="0" w:themeColor="accent3" w:themeTint="FE"/>
          <w:bottom w:val="none"/>
        </w:tcBorders>
      </w:tcPr>
    </w:tblStylePr>
    <w:tblStylePr w:type="firstRow">
      <w:rPr>
        <w:rFonts w:ascii="Arial" w:hAnsi="Arial"/>
        <w:b/>
        <w:color w:val="5C702F" w:themeColor="accent3" w:themeTint="FE" w:themeShade="95"/>
        <w:sz w:val="22"/>
      </w:rPr>
      <w:tcPr>
        <w:shd w:val="clear" w:color="FFFFFF" w:themeFill="light1" w:themeColor="light1"/>
        <w:tcBorders>
          <w:left w:val="none"/>
          <w:top w:val="none"/>
          <w:right w:val="none"/>
          <w:bottom w:val="single" w:color="000000" w:sz="4" w:space="0" w:themeColor="accent3" w:themeTint="FE"/>
        </w:tcBorders>
      </w:tcPr>
    </w:tblStylePr>
    <w:tblStylePr w:type="lastCol">
      <w:rPr>
        <w:rFonts w:ascii="Arial" w:hAnsi="Arial"/>
        <w:i/>
        <w:color w:val="5C702F" w:themeColor="accent3" w:themeTint="FE" w:themeShade="95"/>
        <w:sz w:val="22"/>
      </w:rPr>
      <w:tcPr>
        <w:shd w:color="FFFFFF"/>
        <w:tcBorders>
          <w:left w:val="single" w:color="000000" w:sz="4" w:space="0" w:themeColor="accent3" w:themeTint="FE"/>
          <w:top w:val="none"/>
          <w:right w:val="none"/>
          <w:bottom w:val="none"/>
        </w:tcBorders>
      </w:tcPr>
    </w:tblStylePr>
    <w:tblStylePr w:type="lastRow">
      <w:rPr>
        <w:rFonts w:ascii="Arial" w:hAnsi="Arial"/>
        <w:b/>
        <w:color w:val="5C702F" w:themeColor="accent3" w:themeTint="FE" w:themeShade="95"/>
        <w:sz w:val="22"/>
      </w:rPr>
      <w:tcPr>
        <w:shd w:val="clear" w:color="FFFFFF" w:themeFill="light1" w:themeColor="light1"/>
        <w:tcBorders>
          <w:left w:val="none"/>
          <w:top w:val="single" w:color="000000" w:sz="4" w:space="0" w:themeColor="accent3" w:themeTint="FE"/>
          <w:right w:val="none"/>
          <w:bottom w:val="none"/>
        </w:tcBorders>
      </w:tcPr>
    </w:tblStylePr>
  </w:style>
  <w:style w:type="table" w:styleId="99">
    <w:name w:val="Grid Table 7 Colorful - Accent 4"/>
    <w:basedOn w:val="642"/>
    <w:uiPriority w:val="99"/>
    <w:pPr>
      <w:spacing w:lineRule="auto" w:line="240" w:after="0"/>
    </w:pPr>
    <w:tblPr>
      <w:tblStyleRowBandSize w:val="1"/>
      <w:tblStyleColBandSize w:val="1"/>
      <w:tblInd w:w="0" w:type="dxa"/>
      <w:tblBorders>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664F82" w:themeColor="accent4" w:themeTint="9A" w:themeShade="95"/>
        <w:sz w:val="22"/>
      </w:rPr>
      <w:tcPr>
        <w:shd w:val="clear" w:color="FFFFFF" w:themeFill="accent4" w:themeFillTint="34" w:themeColor="accent4" w:themeTint="34"/>
      </w:tcPr>
    </w:tblStylePr>
    <w:tblStylePr w:type="band1Vert">
      <w:tcPr>
        <w:shd w:val="clear" w:color="FFFFFF" w:themeFill="accent4" w:themeFillTint="34" w:themeColor="accent4" w:theme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left w:val="none"/>
          <w:top w:val="none"/>
          <w:right w:val="single" w:color="000000" w:sz="4" w:space="0" w:themeColor="accent4" w:themeTint="9A"/>
          <w:bottom w:val="none"/>
        </w:tcBorders>
      </w:tcPr>
    </w:tblStylePr>
    <w:tblStylePr w:type="firstRow">
      <w:rPr>
        <w:rFonts w:ascii="Arial" w:hAnsi="Arial"/>
        <w:b/>
        <w:color w:val="664F82" w:themeColor="accent4" w:themeTint="9A" w:themeShade="95"/>
        <w:sz w:val="22"/>
      </w:rPr>
      <w:tcPr>
        <w:shd w:val="clear" w:color="FFFFFF" w:themeFill="light1" w:themeColor="light1"/>
        <w:tcBorders>
          <w:left w:val="none"/>
          <w:top w:val="none"/>
          <w:right w:val="none"/>
          <w:bottom w:val="single" w:color="000000" w:sz="4" w:space="0" w:themeColor="accent4" w:themeTint="9A"/>
        </w:tcBorders>
      </w:tcPr>
    </w:tblStylePr>
    <w:tblStylePr w:type="lastCol">
      <w:rPr>
        <w:rFonts w:ascii="Arial" w:hAnsi="Arial"/>
        <w:i/>
        <w:color w:val="664F82" w:themeColor="accent4" w:themeTint="9A" w:themeShade="95"/>
        <w:sz w:val="22"/>
      </w:rPr>
      <w:tcPr>
        <w:shd w:color="FFFFFF"/>
        <w:tcBorders>
          <w:left w:val="single" w:color="000000" w:sz="4" w:space="0" w:themeColor="accent4" w:themeTint="9A"/>
          <w:top w:val="none"/>
          <w:right w:val="none"/>
          <w:bottom w:val="none"/>
        </w:tcBorders>
      </w:tcPr>
    </w:tblStylePr>
    <w:tblStylePr w:type="lastRow">
      <w:rPr>
        <w:rFonts w:ascii="Arial" w:hAnsi="Arial"/>
        <w:b/>
        <w:color w:val="664F82" w:themeColor="accent4" w:themeTint="9A" w:themeShade="95"/>
        <w:sz w:val="22"/>
      </w:rPr>
      <w:tcPr>
        <w:shd w:val="clear" w:color="FFFFFF" w:themeFill="light1" w:themeColor="light1"/>
        <w:tcBorders>
          <w:left w:val="none"/>
          <w:top w:val="single" w:color="000000" w:sz="4" w:space="0" w:themeColor="accent4" w:themeTint="9A"/>
          <w:right w:val="none"/>
          <w:bottom w:val="none"/>
        </w:tcBorders>
      </w:tcPr>
    </w:tblStylePr>
  </w:style>
  <w:style w:type="table" w:styleId="100">
    <w:name w:val="Grid Table 7 Colorful - Accent 5"/>
    <w:basedOn w:val="642"/>
    <w:uiPriority w:val="99"/>
    <w:pPr>
      <w:spacing w:lineRule="auto" w:line="240" w:after="0"/>
    </w:pPr>
    <w:tblPr>
      <w:tblStyleRowBandSize w:val="1"/>
      <w:tblStyleColBandSize w:val="1"/>
      <w:tblInd w:w="0" w:type="dxa"/>
      <w:tblBorders>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266777" w:themeColor="accent5" w:themeShade="95"/>
        <w:sz w:val="22"/>
      </w:rPr>
      <w:tcPr>
        <w:shd w:val="clear" w:color="FFFFFF" w:themeFill="accent5" w:themeFillTint="34" w:themeColor="accent5" w:themeTint="34"/>
      </w:tcPr>
    </w:tblStylePr>
    <w:tblStylePr w:type="band1Vert">
      <w:tcPr>
        <w:shd w:val="clear" w:color="FFFFFF" w:themeFill="accent5" w:themeFillTint="34" w:themeColor="accent5" w:theme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left w:val="none"/>
          <w:top w:val="none"/>
          <w:right w:val="single" w:color="000000" w:sz="4" w:space="0" w:themeColor="accent5" w:themeTint="90"/>
          <w:bottom w:val="none"/>
        </w:tcBorders>
      </w:tcPr>
    </w:tblStylePr>
    <w:tblStylePr w:type="firstRow">
      <w:rPr>
        <w:rFonts w:ascii="Arial" w:hAnsi="Arial"/>
        <w:b/>
        <w:color w:val="266777" w:themeColor="accent5" w:themeShade="95"/>
        <w:sz w:val="22"/>
      </w:rPr>
      <w:tcPr>
        <w:shd w:val="clear" w:color="FFFFFF" w:themeFill="light1" w:themeColor="light1"/>
        <w:tcBorders>
          <w:left w:val="none"/>
          <w:top w:val="none"/>
          <w:right w:val="none"/>
          <w:bottom w:val="single" w:color="000000" w:sz="4" w:space="0" w:themeColor="accent5" w:themeTint="90"/>
        </w:tcBorders>
      </w:tcPr>
    </w:tblStylePr>
    <w:tblStylePr w:type="lastCol">
      <w:rPr>
        <w:rFonts w:ascii="Arial" w:hAnsi="Arial"/>
        <w:i/>
        <w:color w:val="266777" w:themeColor="accent5" w:themeShade="95"/>
        <w:sz w:val="22"/>
      </w:rPr>
      <w:tcPr>
        <w:shd w:color="FFFFFF"/>
        <w:tcBorders>
          <w:left w:val="single" w:color="000000" w:sz="4" w:space="0" w:themeColor="accent5" w:themeTint="90"/>
          <w:top w:val="none"/>
          <w:right w:val="none"/>
          <w:bottom w:val="none"/>
        </w:tcBorders>
      </w:tcPr>
    </w:tblStylePr>
    <w:tblStylePr w:type="lastRow">
      <w:rPr>
        <w:rFonts w:ascii="Arial" w:hAnsi="Arial"/>
        <w:b/>
        <w:color w:val="266777" w:themeColor="accent5" w:themeShade="95"/>
        <w:sz w:val="22"/>
      </w:rPr>
      <w:tcPr>
        <w:shd w:val="clear" w:color="FFFFFF" w:themeFill="light1" w:themeColor="light1"/>
        <w:tcBorders>
          <w:left w:val="none"/>
          <w:top w:val="single" w:color="000000" w:sz="4" w:space="0" w:themeColor="accent5" w:themeTint="90"/>
          <w:right w:val="none"/>
          <w:bottom w:val="none"/>
        </w:tcBorders>
      </w:tcPr>
    </w:tblStylePr>
  </w:style>
  <w:style w:type="table" w:styleId="101">
    <w:name w:val="Grid Table 7 Colorful - Accent 6"/>
    <w:basedOn w:val="642"/>
    <w:uiPriority w:val="99"/>
    <w:pPr>
      <w:spacing w:lineRule="auto" w:line="240" w:after="0"/>
    </w:pPr>
    <w:tblPr>
      <w:tblStyleRowBandSize w:val="1"/>
      <w:tblStyleColBandSize w:val="1"/>
      <w:tblInd w:w="0" w:type="dxa"/>
      <w:tblBorders>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B05307" w:themeColor="accent6" w:themeShade="95"/>
        <w:sz w:val="22"/>
      </w:rPr>
      <w:tcPr>
        <w:shd w:val="clear" w:color="FFFFFF" w:themeFill="accent6" w:themeFillTint="34" w:themeColor="accent6" w:themeTint="34"/>
      </w:tcPr>
    </w:tblStylePr>
    <w:tblStylePr w:type="band1Vert">
      <w:tcPr>
        <w:shd w:val="clear" w:color="FFFFFF" w:themeFill="accent6" w:themeFillTint="34" w:themeColor="accent6" w:theme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left w:val="none"/>
          <w:top w:val="none"/>
          <w:right w:val="single" w:color="000000" w:sz="4" w:space="0" w:themeColor="accent6" w:themeTint="90"/>
          <w:bottom w:val="none"/>
        </w:tcBorders>
      </w:tcPr>
    </w:tblStylePr>
    <w:tblStylePr w:type="firstRow">
      <w:rPr>
        <w:rFonts w:ascii="Arial" w:hAnsi="Arial"/>
        <w:b/>
        <w:color w:val="B05307" w:themeColor="accent6" w:themeShade="95"/>
        <w:sz w:val="22"/>
      </w:rPr>
      <w:tcPr>
        <w:shd w:val="clear" w:color="FFFFFF" w:themeFill="light1" w:themeColor="light1"/>
        <w:tcBorders>
          <w:left w:val="none"/>
          <w:top w:val="none"/>
          <w:right w:val="none"/>
          <w:bottom w:val="single" w:color="000000" w:sz="4" w:space="0" w:themeColor="accent6" w:themeTint="90"/>
        </w:tcBorders>
      </w:tcPr>
    </w:tblStylePr>
    <w:tblStylePr w:type="lastCol">
      <w:rPr>
        <w:rFonts w:ascii="Arial" w:hAnsi="Arial"/>
        <w:i/>
        <w:color w:val="B05307" w:themeColor="accent6" w:themeShade="95"/>
        <w:sz w:val="22"/>
      </w:rPr>
      <w:tcPr>
        <w:shd w:color="FFFFFF"/>
        <w:tcBorders>
          <w:left w:val="single" w:color="000000" w:sz="4" w:space="0" w:themeColor="accent6" w:themeTint="90"/>
          <w:top w:val="none"/>
          <w:right w:val="none"/>
          <w:bottom w:val="none"/>
        </w:tcBorders>
      </w:tcPr>
    </w:tblStylePr>
    <w:tblStylePr w:type="lastRow">
      <w:rPr>
        <w:rFonts w:ascii="Arial" w:hAnsi="Arial"/>
        <w:b/>
        <w:color w:val="B05307" w:themeColor="accent6" w:themeShade="95"/>
        <w:sz w:val="22"/>
      </w:rPr>
      <w:tcPr>
        <w:shd w:val="clear" w:color="FFFFFF" w:themeFill="light1" w:themeColor="light1"/>
        <w:tcBorders>
          <w:left w:val="none"/>
          <w:top w:val="single" w:color="000000" w:sz="4" w:space="0" w:themeColor="accent6" w:themeTint="90"/>
          <w:right w:val="none"/>
          <w:bottom w:val="none"/>
        </w:tcBorders>
      </w:tcPr>
    </w:tblStylePr>
  </w:style>
  <w:style w:type="table" w:styleId="102">
    <w:name w:val="List Table 1 Light"/>
    <w:basedOn w:val="642"/>
    <w:uiPriority w:val="99"/>
    <w:pPr>
      <w:spacing w:lineRule="auto" w:line="240" w:after="0"/>
    </w:pPr>
    <w:tblPr>
      <w:tblStyleRowBandSize w:val="1"/>
      <w:tblStyleColBandSize w:val="1"/>
      <w:tblInd w:w="0" w:type="dxa"/>
    </w:tblPr>
    <w:tblStylePr w:type="band1Horz">
      <w:tcPr>
        <w:shd w:val="clear" w:color="FFFFFF" w:themeFill="text1" w:themeFillTint="40" w:themeColor="text1" w:themeTint="40"/>
      </w:tcPr>
    </w:tblStylePr>
    <w:tblStylePr w:type="band1Vert">
      <w:tcPr>
        <w:shd w:val="clear" w:color="FFFFFF" w:themeFill="text1" w:themeFillTint="40" w:themeColor="text1"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text1"/>
        </w:tcBorders>
      </w:tcPr>
    </w:tblStylePr>
    <w:tblStylePr w:type="lastCol">
      <w:rPr>
        <w:b/>
        <w:color w:val="404040"/>
      </w:rPr>
    </w:tblStylePr>
    <w:tblStylePr w:type="lastRow">
      <w:rPr>
        <w:b/>
        <w:color w:val="404040"/>
      </w:rPr>
      <w:tcPr>
        <w:tcBorders>
          <w:left w:val="none" w:color="000000" w:sz="4" w:space="0"/>
          <w:top w:val="single" w:color="000000" w:sz="4" w:space="0" w:themeColor="text1"/>
          <w:right w:val="none" w:color="000000" w:sz="4" w:space="0"/>
          <w:bottom w:val="none" w:color="000000" w:sz="4" w:space="0"/>
        </w:tcBorders>
      </w:tcPr>
    </w:tblStylePr>
  </w:style>
  <w:style w:type="table" w:styleId="103">
    <w:name w:val="List Table 1 Light - Accent 1"/>
    <w:basedOn w:val="642"/>
    <w:uiPriority w:val="99"/>
    <w:pPr>
      <w:spacing w:lineRule="auto" w:line="240" w:after="0"/>
    </w:pPr>
    <w:tblPr>
      <w:tblStyleRowBandSize w:val="1"/>
      <w:tblStyleColBandSize w:val="1"/>
      <w:tblInd w:w="0" w:type="dxa"/>
    </w:tblPr>
    <w:tblStylePr w:type="band1Horz">
      <w:tcPr>
        <w:shd w:val="clear" w:color="FFFFFF" w:themeFill="accent1" w:themeFillTint="40" w:themeColor="accent1" w:themeTint="40"/>
      </w:tcPr>
    </w:tblStylePr>
    <w:tblStylePr w:type="band1Vert">
      <w:tcPr>
        <w:shd w:val="clear" w:color="FFFFFF" w:themeFill="accent1" w:themeFillTint="40" w:themeColor="accent1"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1"/>
        </w:tcBorders>
      </w:tcPr>
    </w:tblStylePr>
    <w:tblStylePr w:type="lastCol">
      <w:rPr>
        <w:b/>
        <w:color w:val="404040"/>
      </w:rPr>
    </w:tblStylePr>
    <w:tblStylePr w:type="lastRow">
      <w:rPr>
        <w:b/>
        <w:color w:val="404040"/>
      </w:rPr>
      <w:tcPr>
        <w:tcBorders>
          <w:left w:val="none" w:color="000000" w:sz="4" w:space="0"/>
          <w:top w:val="single" w:color="000000" w:sz="4" w:space="0" w:themeColor="accent1"/>
          <w:right w:val="none" w:color="000000" w:sz="4" w:space="0"/>
          <w:bottom w:val="none" w:color="000000" w:sz="4" w:space="0"/>
        </w:tcBorders>
      </w:tcPr>
    </w:tblStylePr>
  </w:style>
  <w:style w:type="table" w:styleId="104">
    <w:name w:val="List Table 1 Light - Accent 2"/>
    <w:basedOn w:val="642"/>
    <w:uiPriority w:val="99"/>
    <w:pPr>
      <w:spacing w:lineRule="auto" w:line="240" w:after="0"/>
    </w:pPr>
    <w:tblPr>
      <w:tblStyleRowBandSize w:val="1"/>
      <w:tblStyleColBandSize w:val="1"/>
      <w:tblInd w:w="0" w:type="dxa"/>
    </w:tblPr>
    <w:tblStylePr w:type="band1Horz">
      <w:tcPr>
        <w:shd w:val="clear" w:color="FFFFFF" w:themeFill="accent2" w:themeFillTint="40" w:themeColor="accent2" w:themeTint="40"/>
      </w:tcPr>
    </w:tblStylePr>
    <w:tblStylePr w:type="band1Vert">
      <w:tcPr>
        <w:shd w:val="clear" w:color="FFFFFF" w:themeFill="accent2" w:themeFillTint="40" w:themeColor="accent2"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2"/>
        </w:tcBorders>
      </w:tcPr>
    </w:tblStylePr>
    <w:tblStylePr w:type="lastCol">
      <w:rPr>
        <w:b/>
        <w:color w:val="404040"/>
      </w:rPr>
    </w:tblStylePr>
    <w:tblStylePr w:type="lastRow">
      <w:rPr>
        <w:b/>
        <w:color w:val="404040"/>
      </w:rPr>
      <w:tcPr>
        <w:tcBorders>
          <w:left w:val="none" w:color="000000" w:sz="4" w:space="0"/>
          <w:top w:val="single" w:color="000000" w:sz="4" w:space="0" w:themeColor="accent2"/>
          <w:right w:val="none" w:color="000000" w:sz="4" w:space="0"/>
          <w:bottom w:val="none" w:color="000000" w:sz="4" w:space="0"/>
        </w:tcBorders>
      </w:tcPr>
    </w:tblStylePr>
  </w:style>
  <w:style w:type="table" w:styleId="105">
    <w:name w:val="List Table 1 Light - Accent 3"/>
    <w:basedOn w:val="642"/>
    <w:uiPriority w:val="99"/>
    <w:pPr>
      <w:spacing w:lineRule="auto" w:line="240" w:after="0"/>
    </w:pPr>
    <w:tblPr>
      <w:tblStyleRowBandSize w:val="1"/>
      <w:tblStyleColBandSize w:val="1"/>
      <w:tblInd w:w="0" w:type="dxa"/>
    </w:tblPr>
    <w:tblStylePr w:type="band1Horz">
      <w:tcPr>
        <w:shd w:val="clear" w:color="FFFFFF" w:themeFill="accent3" w:themeFillTint="40" w:themeColor="accent3" w:themeTint="40"/>
      </w:tcPr>
    </w:tblStylePr>
    <w:tblStylePr w:type="band1Vert">
      <w:tcPr>
        <w:shd w:val="clear" w:color="FFFFFF" w:themeFill="accent3" w:themeFillTint="40" w:themeColor="accent3"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3"/>
        </w:tcBorders>
      </w:tcPr>
    </w:tblStylePr>
    <w:tblStylePr w:type="lastCol">
      <w:rPr>
        <w:b/>
        <w:color w:val="404040"/>
      </w:rPr>
    </w:tblStylePr>
    <w:tblStylePr w:type="lastRow">
      <w:rPr>
        <w:b/>
        <w:color w:val="404040"/>
      </w:rPr>
      <w:tcPr>
        <w:tcBorders>
          <w:left w:val="none" w:color="000000" w:sz="4" w:space="0"/>
          <w:top w:val="single" w:color="000000" w:sz="4" w:space="0" w:themeColor="accent3"/>
          <w:right w:val="none" w:color="000000" w:sz="4" w:space="0"/>
          <w:bottom w:val="none" w:color="000000" w:sz="4" w:space="0"/>
        </w:tcBorders>
      </w:tcPr>
    </w:tblStylePr>
  </w:style>
  <w:style w:type="table" w:styleId="106">
    <w:name w:val="List Table 1 Light - Accent 4"/>
    <w:basedOn w:val="642"/>
    <w:uiPriority w:val="99"/>
    <w:pPr>
      <w:spacing w:lineRule="auto" w:line="240" w:after="0"/>
    </w:pPr>
    <w:tblPr>
      <w:tblStyleRowBandSize w:val="1"/>
      <w:tblStyleColBandSize w:val="1"/>
      <w:tblInd w:w="0" w:type="dxa"/>
    </w:tblPr>
    <w:tblStylePr w:type="band1Horz">
      <w:tcPr>
        <w:shd w:val="clear" w:color="FFFFFF" w:themeFill="accent4" w:themeFillTint="40" w:themeColor="accent4" w:themeTint="40"/>
      </w:tcPr>
    </w:tblStylePr>
    <w:tblStylePr w:type="band1Vert">
      <w:tcPr>
        <w:shd w:val="clear" w:color="FFFFFF" w:themeFill="accent4" w:themeFillTint="40" w:themeColor="accent4"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4"/>
        </w:tcBorders>
      </w:tcPr>
    </w:tblStylePr>
    <w:tblStylePr w:type="lastCol">
      <w:rPr>
        <w:b/>
        <w:color w:val="404040"/>
      </w:rPr>
    </w:tblStylePr>
    <w:tblStylePr w:type="lastRow">
      <w:rPr>
        <w:b/>
        <w:color w:val="404040"/>
      </w:rPr>
      <w:tcPr>
        <w:tcBorders>
          <w:left w:val="none" w:color="000000" w:sz="4" w:space="0"/>
          <w:top w:val="single" w:color="000000" w:sz="4" w:space="0" w:themeColor="accent4"/>
          <w:right w:val="none" w:color="000000" w:sz="4" w:space="0"/>
          <w:bottom w:val="none" w:color="000000" w:sz="4" w:space="0"/>
        </w:tcBorders>
      </w:tcPr>
    </w:tblStylePr>
  </w:style>
  <w:style w:type="table" w:styleId="107">
    <w:name w:val="List Table 1 Light - Accent 5"/>
    <w:basedOn w:val="642"/>
    <w:uiPriority w:val="99"/>
    <w:pPr>
      <w:spacing w:lineRule="auto" w:line="240" w:after="0"/>
    </w:pPr>
    <w:tblPr>
      <w:tblStyleRowBandSize w:val="1"/>
      <w:tblStyleColBandSize w:val="1"/>
      <w:tblInd w:w="0" w:type="dxa"/>
    </w:tblPr>
    <w:tblStylePr w:type="band1Horz">
      <w:tcPr>
        <w:shd w:val="clear" w:color="FFFFFF" w:themeFill="accent5" w:themeFillTint="40" w:themeColor="accent5" w:themeTint="40"/>
      </w:tcPr>
    </w:tblStylePr>
    <w:tblStylePr w:type="band1Vert">
      <w:tcPr>
        <w:shd w:val="clear" w:color="FFFFFF" w:themeFill="accent5" w:themeFillTint="40" w:themeColor="accent5"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5"/>
        </w:tcBorders>
      </w:tcPr>
    </w:tblStylePr>
    <w:tblStylePr w:type="lastCol">
      <w:rPr>
        <w:b/>
        <w:color w:val="404040"/>
      </w:rPr>
    </w:tblStylePr>
    <w:tblStylePr w:type="lastRow">
      <w:rPr>
        <w:b/>
        <w:color w:val="404040"/>
      </w:rPr>
      <w:tcPr>
        <w:tcBorders>
          <w:left w:val="none" w:color="000000" w:sz="4" w:space="0"/>
          <w:top w:val="single" w:color="000000" w:sz="4" w:space="0" w:themeColor="accent5"/>
          <w:right w:val="none" w:color="000000" w:sz="4" w:space="0"/>
          <w:bottom w:val="none" w:color="000000" w:sz="4" w:space="0"/>
        </w:tcBorders>
      </w:tcPr>
    </w:tblStylePr>
  </w:style>
  <w:style w:type="table" w:styleId="108">
    <w:name w:val="List Table 1 Light - Accent 6"/>
    <w:basedOn w:val="642"/>
    <w:uiPriority w:val="99"/>
    <w:pPr>
      <w:spacing w:lineRule="auto" w:line="240" w:after="0"/>
    </w:pPr>
    <w:tblPr>
      <w:tblStyleRowBandSize w:val="1"/>
      <w:tblStyleColBandSize w:val="1"/>
      <w:tblInd w:w="0" w:type="dxa"/>
    </w:tblPr>
    <w:tblStylePr w:type="band1Horz">
      <w:tcPr>
        <w:shd w:val="clear" w:color="FFFFFF" w:themeFill="accent6" w:themeFillTint="40" w:themeColor="accent6" w:themeTint="40"/>
      </w:tcPr>
    </w:tblStylePr>
    <w:tblStylePr w:type="band1Vert">
      <w:tcPr>
        <w:shd w:val="clear" w:color="FFFFFF" w:themeFill="accent6" w:themeFillTint="40" w:themeColor="accent6"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6"/>
        </w:tcBorders>
      </w:tcPr>
    </w:tblStylePr>
    <w:tblStylePr w:type="lastCol">
      <w:rPr>
        <w:b/>
        <w:color w:val="404040"/>
      </w:rPr>
    </w:tblStylePr>
    <w:tblStylePr w:type="lastRow">
      <w:rPr>
        <w:b/>
        <w:color w:val="404040"/>
      </w:rPr>
      <w:tcPr>
        <w:tcBorders>
          <w:left w:val="none" w:color="000000" w:sz="4" w:space="0"/>
          <w:top w:val="single" w:color="000000" w:sz="4" w:space="0" w:themeColor="accent6"/>
          <w:right w:val="none" w:color="000000" w:sz="4" w:space="0"/>
          <w:bottom w:val="none" w:color="000000" w:sz="4" w:space="0"/>
        </w:tcBorders>
      </w:tcPr>
    </w:tblStylePr>
  </w:style>
  <w:style w:type="table" w:styleId="109">
    <w:name w:val="List Table 2"/>
    <w:basedOn w:val="642"/>
    <w:uiPriority w:val="99"/>
    <w:pPr>
      <w:spacing w:lineRule="auto" w:line="240" w:after="0"/>
    </w:pPr>
    <w:tblPr>
      <w:tblStyleRowBandSize w:val="1"/>
      <w:tblStyleColBandSize w:val="1"/>
      <w:tblInd w:w="0" w:type="dxa"/>
      <w:tblBorders>
        <w:top w:val="single" w:color="000000" w:sz="4" w:space="0" w:themeColor="text1" w:themeTint="90"/>
        <w:bottom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FFFFFF" w:themeFill="text1" w:themeFillTint="40" w:themeColor="text1" w:themeTint="40"/>
      </w:tcPr>
    </w:tblStylePr>
    <w:tblStylePr w:type="band1Vert">
      <w:rPr>
        <w:rFonts w:ascii="Arial" w:hAnsi="Arial"/>
        <w:color w:val="404040"/>
        <w:sz w:val="22"/>
      </w:rPr>
      <w:tcPr>
        <w:shd w:val="clear" w:color="FFFFFF" w:themeFill="text1" w:themeFillTint="40" w:themeColor="text1"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style>
  <w:style w:type="table" w:styleId="110">
    <w:name w:val="List Table 2 - Accent 1"/>
    <w:basedOn w:val="642"/>
    <w:uiPriority w:val="99"/>
    <w:pPr>
      <w:spacing w:lineRule="auto" w:line="240" w:after="0"/>
    </w:pPr>
    <w:tblPr>
      <w:tblStyleRowBandSize w:val="1"/>
      <w:tblStyleColBandSize w:val="1"/>
      <w:tblInd w:w="0" w:type="dxa"/>
      <w:tblBorders>
        <w:top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themeFill="accent1" w:themeFillTint="40" w:themeColor="accent1" w:themeTint="40"/>
      </w:tcPr>
    </w:tblStylePr>
    <w:tblStylePr w:type="band1Vert">
      <w:rPr>
        <w:rFonts w:ascii="Arial" w:hAnsi="Arial"/>
        <w:color w:val="404040"/>
        <w:sz w:val="22"/>
      </w:rPr>
      <w:tcPr>
        <w:shd w:val="clear" w:color="FFFFFF" w:themeFill="accent1" w:themeFillTint="40" w:themeColor="accent1"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style>
  <w:style w:type="table" w:styleId="111">
    <w:name w:val="List Table 2 - Accent 2"/>
    <w:basedOn w:val="642"/>
    <w:uiPriority w:val="99"/>
    <w:pPr>
      <w:spacing w:lineRule="auto" w:line="240" w:after="0"/>
    </w:pPr>
    <w:tblPr>
      <w:tblStyleRowBandSize w:val="1"/>
      <w:tblStyleColBandSize w:val="1"/>
      <w:tblInd w:w="0" w:type="dxa"/>
      <w:tblBorders>
        <w:top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themeFill="accent2" w:themeFillTint="40" w:themeColor="accent2" w:themeTint="40"/>
      </w:tcPr>
    </w:tblStylePr>
    <w:tblStylePr w:type="band1Vert">
      <w:rPr>
        <w:rFonts w:ascii="Arial" w:hAnsi="Arial"/>
        <w:color w:val="404040"/>
        <w:sz w:val="22"/>
      </w:rPr>
      <w:tcPr>
        <w:shd w:val="clear" w:color="FFFFFF" w:themeFill="accent2" w:themeFillTint="40" w:themeColor="accent2"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style>
  <w:style w:type="table" w:styleId="112">
    <w:name w:val="List Table 2 - Accent 3"/>
    <w:basedOn w:val="642"/>
    <w:uiPriority w:val="99"/>
    <w:pPr>
      <w:spacing w:lineRule="auto" w:line="240" w:after="0"/>
    </w:pPr>
    <w:tblPr>
      <w:tblStyleRowBandSize w:val="1"/>
      <w:tblStyleColBandSize w:val="1"/>
      <w:tblInd w:w="0" w:type="dxa"/>
      <w:tblBorders>
        <w:top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themeFill="accent3" w:themeFillTint="40" w:themeColor="accent3" w:themeTint="40"/>
      </w:tcPr>
    </w:tblStylePr>
    <w:tblStylePr w:type="band1Vert">
      <w:rPr>
        <w:rFonts w:ascii="Arial" w:hAnsi="Arial"/>
        <w:color w:val="404040"/>
        <w:sz w:val="22"/>
      </w:rPr>
      <w:tcPr>
        <w:shd w:val="clear" w:color="FFFFFF" w:themeFill="accent3" w:themeFillTint="40" w:themeColor="accent3"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style>
  <w:style w:type="table" w:styleId="113">
    <w:name w:val="List Table 2 - Accent 4"/>
    <w:basedOn w:val="642"/>
    <w:uiPriority w:val="99"/>
    <w:pPr>
      <w:spacing w:lineRule="auto" w:line="240" w:after="0"/>
    </w:pPr>
    <w:tblPr>
      <w:tblStyleRowBandSize w:val="1"/>
      <w:tblStyleColBandSize w:val="1"/>
      <w:tblInd w:w="0" w:type="dxa"/>
      <w:tblBorders>
        <w:top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themeFill="accent4" w:themeFillTint="40" w:themeColor="accent4" w:themeTint="40"/>
      </w:tcPr>
    </w:tblStylePr>
    <w:tblStylePr w:type="band1Vert">
      <w:rPr>
        <w:rFonts w:ascii="Arial" w:hAnsi="Arial"/>
        <w:color w:val="404040"/>
        <w:sz w:val="22"/>
      </w:rPr>
      <w:tcPr>
        <w:shd w:val="clear" w:color="FFFFFF" w:themeFill="accent4" w:themeFillTint="40" w:themeColor="accent4"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style>
  <w:style w:type="table" w:styleId="114">
    <w:name w:val="List Table 2 - Accent 5"/>
    <w:basedOn w:val="642"/>
    <w:uiPriority w:val="99"/>
    <w:pPr>
      <w:spacing w:lineRule="auto" w:line="240" w:after="0"/>
    </w:pPr>
    <w:tblPr>
      <w:tblStyleRowBandSize w:val="1"/>
      <w:tblStyleColBandSize w:val="1"/>
      <w:tblInd w:w="0" w:type="dxa"/>
      <w:tblBorders>
        <w:top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themeFill="accent5" w:themeFillTint="40" w:themeColor="accent5" w:themeTint="40"/>
      </w:tcPr>
    </w:tblStylePr>
    <w:tblStylePr w:type="band1Vert">
      <w:rPr>
        <w:rFonts w:ascii="Arial" w:hAnsi="Arial"/>
        <w:color w:val="404040"/>
        <w:sz w:val="22"/>
      </w:rPr>
      <w:tcPr>
        <w:shd w:val="clear" w:color="FFFFFF" w:themeFill="accent5" w:themeFillTint="40" w:themeColor="accent5"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style>
  <w:style w:type="table" w:styleId="115">
    <w:name w:val="List Table 2 - Accent 6"/>
    <w:basedOn w:val="642"/>
    <w:uiPriority w:val="99"/>
    <w:pPr>
      <w:spacing w:lineRule="auto" w:line="240" w:after="0"/>
    </w:pPr>
    <w:tblPr>
      <w:tblStyleRowBandSize w:val="1"/>
      <w:tblStyleColBandSize w:val="1"/>
      <w:tblInd w:w="0" w:type="dxa"/>
      <w:tblBorders>
        <w:top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themeFill="accent6" w:themeFillTint="40" w:themeColor="accent6" w:themeTint="40"/>
      </w:tcPr>
    </w:tblStylePr>
    <w:tblStylePr w:type="band1Vert">
      <w:rPr>
        <w:rFonts w:ascii="Arial" w:hAnsi="Arial"/>
        <w:color w:val="404040"/>
        <w:sz w:val="22"/>
      </w:rPr>
      <w:tcPr>
        <w:shd w:val="clear" w:color="FFFFFF" w:themeFill="accent6" w:themeFillTint="40" w:themeColor="accent6"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style>
  <w:style w:type="table" w:styleId="116">
    <w:name w:val="List Table 3"/>
    <w:basedOn w:val="642"/>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tblBorders>
    </w:tblPr>
    <w:tblStylePr w:type="band1Horz">
      <w:rPr>
        <w:rFonts w:ascii="Arial" w:hAnsi="Arial"/>
        <w:color w:val="404040"/>
        <w:sz w:val="22"/>
      </w:rPr>
      <w:tcPr>
        <w:tcBorders>
          <w:top w:val="single" w:color="000000" w:sz="4" w:space="0" w:themeColor="text1"/>
          <w:bottom w:val="single" w:color="000000" w:sz="4" w:space="0" w:themeColor="text1"/>
        </w:tcBorders>
      </w:tcPr>
    </w:tblStylePr>
    <w:tblStylePr w:type="band1Vert">
      <w:rPr>
        <w:rFonts w:ascii="Arial" w:hAnsi="Arial"/>
        <w:color w:val="404040"/>
        <w:sz w:val="22"/>
      </w:rPr>
      <w:tcPr>
        <w:tcBorders>
          <w:left w:val="single" w:color="000000" w:sz="4" w:space="0" w:themeColor="text1"/>
          <w:right w:val="single" w:color="000000" w:sz="4" w:space="0" w:themeColor="text1"/>
        </w:tcBorders>
      </w:tcPr>
    </w:tblStylePr>
    <w:tblStylePr w:type="firstCol">
      <w:rPr>
        <w:b/>
        <w:color w:val="404040"/>
      </w:rPr>
    </w:tblStylePr>
    <w:tblStylePr w:type="firstRow">
      <w:rPr>
        <w:rFonts w:ascii="Arial" w:hAnsi="Arial"/>
        <w:b/>
        <w:color w:val="FFFFFF"/>
        <w:sz w:val="22"/>
      </w:rPr>
      <w:tcPr>
        <w:shd w:val="clear" w:color="FFFFFF" w:themeFill="text1" w:themeColor="text1"/>
      </w:tcPr>
    </w:tblStylePr>
    <w:tblStylePr w:type="lastCol">
      <w:rPr>
        <w:b/>
        <w:color w:val="404040"/>
      </w:rPr>
    </w:tblStylePr>
    <w:tblStylePr w:type="lastRow">
      <w:rPr>
        <w:b/>
        <w:color w:val="404040"/>
      </w:rPr>
    </w:tblStylePr>
  </w:style>
  <w:style w:type="table" w:styleId="117">
    <w:name w:val="List Table 3 - Accent 1"/>
    <w:basedOn w:val="642"/>
    <w:uiPriority w:val="99"/>
    <w:pPr>
      <w:spacing w:lineRule="auto" w:line="240" w:after="0"/>
    </w:pPr>
    <w:tblPr>
      <w:tblStyleRowBandSize w:val="1"/>
      <w:tblStyleColBandSize w:val="1"/>
      <w:tblInd w:w="0" w:type="dxa"/>
      <w:tblBorders>
        <w:left w:val="single" w:color="000000" w:sz="4" w:space="0" w:themeColor="accent1"/>
        <w:top w:val="single" w:color="000000" w:sz="4" w:space="0" w:themeColor="accent1"/>
        <w:right w:val="single" w:color="000000" w:sz="4" w:space="0" w:themeColor="accent1"/>
        <w:bottom w:val="single" w:color="000000" w:sz="4" w:space="0" w:themeColor="accent1"/>
      </w:tblBorders>
    </w:tblPr>
    <w:tblStylePr w:type="band1Horz">
      <w:rPr>
        <w:rFonts w:ascii="Arial" w:hAnsi="Arial"/>
        <w:color w:val="404040"/>
        <w:sz w:val="22"/>
      </w:rPr>
      <w:tcPr>
        <w:tcBorders>
          <w:top w:val="single" w:color="000000" w:sz="4" w:space="0" w:themeColor="accent1"/>
          <w:bottom w:val="single" w:color="000000" w:sz="4" w:space="0" w:themeColor="accent1"/>
        </w:tcBorders>
      </w:tcPr>
    </w:tblStylePr>
    <w:tblStylePr w:type="band1Vert">
      <w:rPr>
        <w:rFonts w:ascii="Arial" w:hAnsi="Arial"/>
        <w:color w:val="404040"/>
        <w:sz w:val="22"/>
      </w:rPr>
      <w:tcPr>
        <w:tcBorders>
          <w:left w:val="single" w:color="000000" w:sz="4" w:space="0" w:themeColor="accent1"/>
          <w:right w:val="single" w:color="000000" w:sz="4" w:space="0" w:themeColor="accent1"/>
        </w:tcBorders>
      </w:tcPr>
    </w:tblStylePr>
    <w:tblStylePr w:type="firstCol">
      <w:rPr>
        <w:b/>
        <w:color w:val="404040"/>
      </w:rPr>
    </w:tblStylePr>
    <w:tblStylePr w:type="firstRow">
      <w:rPr>
        <w:rFonts w:ascii="Arial" w:hAnsi="Arial"/>
        <w:b/>
        <w:color w:val="FFFFFF"/>
        <w:sz w:val="22"/>
      </w:rPr>
      <w:tcPr>
        <w:shd w:val="clear" w:color="FFFFFF" w:themeFill="accent1" w:themeColor="accent1"/>
      </w:tcPr>
    </w:tblStylePr>
    <w:tblStylePr w:type="lastCol">
      <w:rPr>
        <w:b/>
        <w:color w:val="404040"/>
      </w:rPr>
    </w:tblStylePr>
    <w:tblStylePr w:type="lastRow">
      <w:rPr>
        <w:b/>
        <w:color w:val="404040"/>
      </w:rPr>
    </w:tblStylePr>
  </w:style>
  <w:style w:type="table" w:styleId="118">
    <w:name w:val="List Table 3 - Accent 2"/>
    <w:basedOn w:val="642"/>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blBorders>
    </w:tblPr>
    <w:tblStylePr w:type="band1Horz">
      <w:rPr>
        <w:rFonts w:ascii="Arial" w:hAnsi="Arial"/>
        <w:color w:val="404040"/>
        <w:sz w:val="22"/>
      </w:rPr>
      <w:tcPr>
        <w:tcBorders>
          <w:top w:val="single" w:color="000000" w:sz="4" w:space="0" w:themeColor="accent2" w:themeTint="97"/>
          <w:bottom w:val="single" w:color="000000" w:sz="4" w:space="0" w:themeColor="accent2" w:themeTint="97"/>
        </w:tcBorders>
      </w:tcPr>
    </w:tblStylePr>
    <w:tblStylePr w:type="band1Vert">
      <w:rPr>
        <w:rFonts w:ascii="Arial" w:hAnsi="Arial"/>
        <w:color w:val="404040"/>
        <w:sz w:val="22"/>
      </w:rPr>
      <w:tcPr>
        <w:tcBorders>
          <w:left w:val="single" w:color="000000" w:sz="4" w:space="0" w:themeColor="accent2" w:themeTint="97"/>
          <w:right w:val="single" w:color="000000" w:sz="4" w:space="0" w:themeColor="accent2" w:themeTint="97"/>
        </w:tcBorders>
      </w:tcPr>
    </w:tblStylePr>
    <w:tblStylePr w:type="firstCol">
      <w:rPr>
        <w:b/>
        <w:color w:val="404040"/>
      </w:rPr>
    </w:tblStylePr>
    <w:tblStylePr w:type="firstRow">
      <w:rPr>
        <w:rFonts w:ascii="Arial" w:hAnsi="Arial"/>
        <w:b/>
        <w:color w:val="FFFFFF"/>
        <w:sz w:val="22"/>
      </w:rPr>
      <w:tcPr>
        <w:shd w:val="clear" w:color="FFFFFF" w:themeFill="accent2" w:themeFillTint="97" w:themeColor="accent2" w:themeTint="97"/>
      </w:tcPr>
    </w:tblStylePr>
    <w:tblStylePr w:type="lastCol">
      <w:rPr>
        <w:b/>
        <w:color w:val="404040"/>
      </w:rPr>
    </w:tblStylePr>
    <w:tblStylePr w:type="lastRow">
      <w:rPr>
        <w:b/>
        <w:color w:val="404040"/>
      </w:rPr>
    </w:tblStylePr>
  </w:style>
  <w:style w:type="table" w:styleId="119">
    <w:name w:val="List Table 3 - Accent 3"/>
    <w:basedOn w:val="642"/>
    <w:uiPriority w:val="99"/>
    <w:pPr>
      <w:spacing w:lineRule="auto" w:line="240" w:after="0"/>
    </w:pPr>
    <w:tblPr>
      <w:tblStyleRowBandSize w:val="1"/>
      <w:tblStyleColBandSize w:val="1"/>
      <w:tblInd w:w="0" w:type="dxa"/>
      <w:tblBorders>
        <w:left w:val="single" w:color="000000" w:sz="4" w:space="0" w:themeColor="accent3" w:themeTint="98"/>
        <w:top w:val="single" w:color="000000" w:sz="4" w:space="0" w:themeColor="accent3" w:themeTint="98"/>
        <w:right w:val="single" w:color="000000" w:sz="4" w:space="0" w:themeColor="accent3" w:themeTint="98"/>
        <w:bottom w:val="single" w:color="000000" w:sz="4" w:space="0" w:themeColor="accent3" w:themeTint="98"/>
      </w:tblBorders>
    </w:tblPr>
    <w:tblStylePr w:type="band1Horz">
      <w:rPr>
        <w:rFonts w:ascii="Arial" w:hAnsi="Arial"/>
        <w:color w:val="404040"/>
        <w:sz w:val="22"/>
      </w:rPr>
      <w:tcPr>
        <w:tcBorders>
          <w:top w:val="single" w:color="000000" w:sz="4" w:space="0" w:themeColor="accent3" w:themeTint="98"/>
          <w:bottom w:val="single" w:color="000000" w:sz="4" w:space="0" w:themeColor="accent3" w:themeTint="98"/>
        </w:tcBorders>
      </w:tcPr>
    </w:tblStylePr>
    <w:tblStylePr w:type="band1Vert">
      <w:rPr>
        <w:rFonts w:ascii="Arial" w:hAnsi="Arial"/>
        <w:color w:val="404040"/>
        <w:sz w:val="22"/>
      </w:rPr>
      <w:tcPr>
        <w:tcBorders>
          <w:left w:val="single" w:color="000000" w:sz="4" w:space="0" w:themeColor="accent3" w:themeTint="98"/>
          <w:right w:val="single" w:color="000000" w:sz="4" w:space="0" w:themeColor="accent3" w:themeTint="98"/>
        </w:tcBorders>
      </w:tcPr>
    </w:tblStylePr>
    <w:tblStylePr w:type="firstCol">
      <w:rPr>
        <w:b/>
        <w:color w:val="404040"/>
      </w:rPr>
    </w:tblStylePr>
    <w:tblStylePr w:type="firstRow">
      <w:rPr>
        <w:rFonts w:ascii="Arial" w:hAnsi="Arial"/>
        <w:b/>
        <w:color w:val="FFFFFF"/>
        <w:sz w:val="22"/>
      </w:rPr>
      <w:tcPr>
        <w:shd w:val="clear" w:color="FFFFFF" w:themeFill="accent3" w:themeFillTint="98" w:themeColor="accent3" w:themeTint="98"/>
      </w:tcPr>
    </w:tblStylePr>
    <w:tblStylePr w:type="lastCol">
      <w:rPr>
        <w:b/>
        <w:color w:val="404040"/>
      </w:rPr>
    </w:tblStylePr>
    <w:tblStylePr w:type="lastRow">
      <w:rPr>
        <w:b/>
        <w:color w:val="404040"/>
      </w:rPr>
    </w:tblStylePr>
  </w:style>
  <w:style w:type="table" w:styleId="120">
    <w:name w:val="List Table 3 - Accent 4"/>
    <w:basedOn w:val="642"/>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blBorders>
    </w:tblPr>
    <w:tblStylePr w:type="band1Horz">
      <w:rPr>
        <w:rFonts w:ascii="Arial" w:hAnsi="Arial"/>
        <w:color w:val="404040"/>
        <w:sz w:val="22"/>
      </w:rPr>
      <w:tcPr>
        <w:tcBorders>
          <w:top w:val="single" w:color="000000" w:sz="4" w:space="0" w:themeColor="accent4" w:themeTint="9A"/>
          <w:bottom w:val="single" w:color="000000" w:sz="4" w:space="0" w:themeColor="accent4" w:themeTint="9A"/>
        </w:tcBorders>
      </w:tcPr>
    </w:tblStylePr>
    <w:tblStylePr w:type="band1Vert">
      <w:rPr>
        <w:rFonts w:ascii="Arial" w:hAnsi="Arial"/>
        <w:color w:val="404040"/>
        <w:sz w:val="22"/>
      </w:rPr>
      <w:tcPr>
        <w:tcBorders>
          <w:left w:val="single" w:color="000000" w:sz="4" w:space="0" w:themeColor="accent4" w:themeTint="9A"/>
          <w:right w:val="single" w:color="000000" w:sz="4" w:space="0" w:themeColor="accent4" w:themeTint="9A"/>
        </w:tcBorders>
      </w:tcPr>
    </w:tblStylePr>
    <w:tblStylePr w:type="firstCol">
      <w:rPr>
        <w:b/>
        <w:color w:val="404040"/>
      </w:rPr>
    </w:tblStylePr>
    <w:tblStylePr w:type="firstRow">
      <w:rPr>
        <w:rFonts w:ascii="Arial" w:hAnsi="Arial"/>
        <w:b/>
        <w:color w:val="FFFFFF"/>
        <w:sz w:val="22"/>
      </w:rPr>
      <w:tcPr>
        <w:shd w:val="clear" w:color="FFFFFF" w:themeFill="accent4" w:themeFillTint="9A" w:themeColor="accent4" w:themeTint="9A"/>
      </w:tcPr>
    </w:tblStylePr>
    <w:tblStylePr w:type="lastCol">
      <w:rPr>
        <w:b/>
        <w:color w:val="404040"/>
      </w:rPr>
    </w:tblStylePr>
    <w:tblStylePr w:type="lastRow">
      <w:rPr>
        <w:b/>
        <w:color w:val="404040"/>
      </w:rPr>
    </w:tblStylePr>
  </w:style>
  <w:style w:type="table" w:styleId="121">
    <w:name w:val="List Table 3 - Accent 5"/>
    <w:basedOn w:val="642"/>
    <w:uiPriority w:val="99"/>
    <w:pPr>
      <w:spacing w:lineRule="auto" w:line="240" w:after="0"/>
    </w:pPr>
    <w:tblPr>
      <w:tblStyleRowBandSize w:val="1"/>
      <w:tblStyleColBandSize w:val="1"/>
      <w:tblInd w:w="0" w:type="dxa"/>
      <w:tblBorders>
        <w:left w:val="single" w:color="000000" w:sz="4" w:space="0" w:themeColor="accent5" w:themeTint="9A"/>
        <w:top w:val="single" w:color="000000" w:sz="4" w:space="0" w:themeColor="accent5" w:themeTint="9A"/>
        <w:right w:val="single" w:color="000000" w:sz="4" w:space="0" w:themeColor="accent5" w:themeTint="9A"/>
        <w:bottom w:val="single" w:color="000000" w:sz="4" w:space="0" w:themeColor="accent5" w:themeTint="9A"/>
      </w:tblBorders>
    </w:tblPr>
    <w:tblStylePr w:type="band1Horz">
      <w:rPr>
        <w:rFonts w:ascii="Arial" w:hAnsi="Arial"/>
        <w:color w:val="404040"/>
        <w:sz w:val="22"/>
      </w:rPr>
      <w:tcPr>
        <w:tcBorders>
          <w:top w:val="single" w:color="000000" w:sz="4" w:space="0" w:themeColor="accent5" w:themeTint="9A"/>
          <w:bottom w:val="single" w:color="000000" w:sz="4" w:space="0" w:themeColor="accent5" w:themeTint="9A"/>
        </w:tcBorders>
      </w:tcPr>
    </w:tblStylePr>
    <w:tblStylePr w:type="band1Vert">
      <w:rPr>
        <w:rFonts w:ascii="Arial" w:hAnsi="Arial"/>
        <w:color w:val="404040"/>
        <w:sz w:val="22"/>
      </w:rPr>
      <w:tcPr>
        <w:tcBorders>
          <w:left w:val="single" w:color="000000" w:sz="4" w:space="0" w:themeColor="accent5" w:themeTint="9A"/>
          <w:right w:val="single" w:color="000000" w:sz="4" w:space="0" w:themeColor="accent5" w:themeTint="9A"/>
        </w:tcBorders>
      </w:tcPr>
    </w:tblStylePr>
    <w:tblStylePr w:type="firstCol">
      <w:rPr>
        <w:b/>
        <w:color w:val="404040"/>
      </w:rPr>
    </w:tblStylePr>
    <w:tblStylePr w:type="firstRow">
      <w:rPr>
        <w:rFonts w:ascii="Arial" w:hAnsi="Arial"/>
        <w:b/>
        <w:color w:val="FFFFFF"/>
        <w:sz w:val="22"/>
      </w:rPr>
      <w:tcPr>
        <w:shd w:val="clear" w:color="FFFFFF" w:themeFill="accent5" w:themeFillTint="9A" w:themeColor="accent5" w:themeTint="9A"/>
      </w:tcPr>
    </w:tblStylePr>
    <w:tblStylePr w:type="lastCol">
      <w:rPr>
        <w:b/>
        <w:color w:val="404040"/>
      </w:rPr>
    </w:tblStylePr>
    <w:tblStylePr w:type="lastRow">
      <w:rPr>
        <w:b/>
        <w:color w:val="404040"/>
      </w:rPr>
    </w:tblStylePr>
  </w:style>
  <w:style w:type="table" w:styleId="122">
    <w:name w:val="List Table 3 - Accent 6"/>
    <w:basedOn w:val="642"/>
    <w:uiPriority w:val="99"/>
    <w:pPr>
      <w:spacing w:lineRule="auto" w:line="240" w:after="0"/>
    </w:pPr>
    <w:tblPr>
      <w:tblStyleRowBandSize w:val="1"/>
      <w:tblStyleColBandSize w:val="1"/>
      <w:tblInd w:w="0" w:type="dxa"/>
      <w:tblBorders>
        <w:left w:val="single" w:color="000000" w:sz="4" w:space="0" w:themeColor="accent6" w:themeTint="98"/>
        <w:top w:val="single" w:color="000000" w:sz="4" w:space="0" w:themeColor="accent6" w:themeTint="98"/>
        <w:right w:val="single" w:color="000000" w:sz="4" w:space="0" w:themeColor="accent6" w:themeTint="98"/>
        <w:bottom w:val="single" w:color="000000" w:sz="4" w:space="0" w:themeColor="accent6" w:themeTint="98"/>
      </w:tblBorders>
    </w:tblPr>
    <w:tblStylePr w:type="band1Horz">
      <w:rPr>
        <w:rFonts w:ascii="Arial" w:hAnsi="Arial"/>
        <w:color w:val="404040"/>
        <w:sz w:val="22"/>
      </w:rPr>
      <w:tcPr>
        <w:tcBorders>
          <w:top w:val="single" w:color="000000" w:sz="4" w:space="0" w:themeColor="accent6" w:themeTint="98"/>
          <w:bottom w:val="single" w:color="000000" w:sz="4" w:space="0" w:themeColor="accent6" w:themeTint="98"/>
        </w:tcBorders>
      </w:tcPr>
    </w:tblStylePr>
    <w:tblStylePr w:type="band1Vert">
      <w:rPr>
        <w:rFonts w:ascii="Arial" w:hAnsi="Arial"/>
        <w:color w:val="404040"/>
        <w:sz w:val="22"/>
      </w:rPr>
      <w:tcPr>
        <w:tcBorders>
          <w:left w:val="single" w:color="000000" w:sz="4" w:space="0" w:themeColor="accent6" w:themeTint="98"/>
          <w:right w:val="single" w:color="000000" w:sz="4" w:space="0" w:themeColor="accent6" w:themeTint="98"/>
        </w:tcBorders>
      </w:tcPr>
    </w:tblStylePr>
    <w:tblStylePr w:type="firstCol">
      <w:rPr>
        <w:b/>
        <w:color w:val="404040"/>
      </w:rPr>
    </w:tblStylePr>
    <w:tblStylePr w:type="firstRow">
      <w:rPr>
        <w:rFonts w:ascii="Arial" w:hAnsi="Arial"/>
        <w:b/>
        <w:color w:val="FFFFFF"/>
        <w:sz w:val="22"/>
      </w:rPr>
      <w:tcPr>
        <w:shd w:val="clear" w:color="FFFFFF" w:themeFill="accent6" w:themeFillTint="98" w:themeColor="accent6" w:themeTint="98"/>
      </w:tcPr>
    </w:tblStylePr>
    <w:tblStylePr w:type="lastCol">
      <w:rPr>
        <w:b/>
        <w:color w:val="404040"/>
      </w:rPr>
    </w:tblStylePr>
    <w:tblStylePr w:type="lastRow">
      <w:rPr>
        <w:b/>
        <w:color w:val="404040"/>
      </w:rPr>
    </w:tblStylePr>
  </w:style>
  <w:style w:type="table" w:styleId="123">
    <w:name w:val="List Table 4"/>
    <w:basedOn w:val="642"/>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insideH w:val="single" w:color="000000" w:sz="4" w:space="0" w:themeColor="text1"/>
      </w:tblBorders>
    </w:tblPr>
    <w:tblStylePr w:type="band1Horz">
      <w:rPr>
        <w:rFonts w:ascii="Arial" w:hAnsi="Arial"/>
        <w:color w:val="404040"/>
        <w:sz w:val="22"/>
      </w:rPr>
      <w:tcPr>
        <w:shd w:val="clear" w:color="FFFFFF" w:themeFill="text1" w:themeFillTint="40" w:themeColor="text1" w:themeTint="40"/>
      </w:tcPr>
    </w:tblStylePr>
    <w:tblStylePr w:type="band1Vert">
      <w:rPr>
        <w:rFonts w:ascii="Arial" w:hAnsi="Arial"/>
        <w:color w:val="404040"/>
        <w:sz w:val="22"/>
      </w:rPr>
      <w:tcPr>
        <w:shd w:val="clear" w:color="FFFFFF" w:themeFill="text1" w:themeFillTint="40" w:themeColor="text1" w:themeTint="40"/>
      </w:tcPr>
    </w:tblStylePr>
    <w:tblStylePr w:type="firstCol">
      <w:rPr>
        <w:b/>
        <w:color w:val="404040"/>
      </w:rPr>
    </w:tblStylePr>
    <w:tblStylePr w:type="firstRow">
      <w:rPr>
        <w:rFonts w:ascii="Arial" w:hAnsi="Arial"/>
        <w:b/>
        <w:color w:val="FFFFFF"/>
        <w:sz w:val="22"/>
      </w:rPr>
      <w:tcPr>
        <w:shd w:val="clear" w:color="FFFFFF" w:themeFill="text1" w:themeColor="text1"/>
      </w:tcPr>
    </w:tblStylePr>
    <w:tblStylePr w:type="lastCol">
      <w:rPr>
        <w:b/>
        <w:color w:val="404040"/>
      </w:rPr>
    </w:tblStylePr>
    <w:tblStylePr w:type="lastRow">
      <w:rPr>
        <w:b/>
        <w:color w:val="404040"/>
      </w:rPr>
    </w:tblStylePr>
  </w:style>
  <w:style w:type="table" w:styleId="124">
    <w:name w:val="List Table 4 - Accent 1"/>
    <w:basedOn w:val="642"/>
    <w:uiPriority w:val="9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themeFill="accent1" w:themeFillTint="40" w:themeColor="accent1" w:themeTint="40"/>
      </w:tcPr>
    </w:tblStylePr>
    <w:tblStylePr w:type="band1Vert">
      <w:rPr>
        <w:rFonts w:ascii="Arial" w:hAnsi="Arial"/>
        <w:color w:val="404040"/>
        <w:sz w:val="22"/>
      </w:rPr>
      <w:tcPr>
        <w:shd w:val="clear" w:color="FFFFFF" w:themeFill="accent1" w:themeFillTint="40" w:themeColor="accent1" w:themeTint="40"/>
      </w:tcPr>
    </w:tblStylePr>
    <w:tblStylePr w:type="firstCol">
      <w:rPr>
        <w:b/>
        <w:color w:val="404040"/>
      </w:rPr>
    </w:tblStylePr>
    <w:tblStylePr w:type="firstRow">
      <w:rPr>
        <w:rFonts w:ascii="Arial" w:hAnsi="Arial"/>
        <w:b/>
        <w:color w:val="FFFFFF"/>
        <w:sz w:val="22"/>
      </w:rPr>
      <w:tcPr>
        <w:shd w:val="clear" w:color="FFFFFF" w:themeFill="accent1" w:themeColor="accent1"/>
      </w:tcPr>
    </w:tblStylePr>
    <w:tblStylePr w:type="lastCol">
      <w:rPr>
        <w:b/>
        <w:color w:val="404040"/>
      </w:rPr>
    </w:tblStylePr>
    <w:tblStylePr w:type="lastRow">
      <w:rPr>
        <w:b/>
        <w:color w:val="404040"/>
      </w:rPr>
    </w:tblStylePr>
  </w:style>
  <w:style w:type="table" w:styleId="125">
    <w:name w:val="List Table 4 - Accent 2"/>
    <w:basedOn w:val="642"/>
    <w:uiPriority w:val="9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themeFill="accent2" w:themeFillTint="40" w:themeColor="accent2" w:themeTint="40"/>
      </w:tcPr>
    </w:tblStylePr>
    <w:tblStylePr w:type="band1Vert">
      <w:rPr>
        <w:rFonts w:ascii="Arial" w:hAnsi="Arial"/>
        <w:color w:val="404040"/>
        <w:sz w:val="22"/>
      </w:rPr>
      <w:tcPr>
        <w:shd w:val="clear" w:color="FFFFFF" w:themeFill="accent2" w:themeFillTint="40" w:themeColor="accent2" w:themeTint="40"/>
      </w:tcPr>
    </w:tblStylePr>
    <w:tblStylePr w:type="firstCol">
      <w:rPr>
        <w:b/>
        <w:color w:val="404040"/>
      </w:rPr>
    </w:tblStylePr>
    <w:tblStylePr w:type="firstRow">
      <w:rPr>
        <w:rFonts w:ascii="Arial" w:hAnsi="Arial"/>
        <w:b/>
        <w:color w:val="FFFFFF"/>
        <w:sz w:val="22"/>
      </w:rPr>
      <w:tcPr>
        <w:shd w:val="clear" w:color="FFFFFF" w:themeFill="accent2" w:themeColor="accent2"/>
      </w:tcPr>
    </w:tblStylePr>
    <w:tblStylePr w:type="lastCol">
      <w:rPr>
        <w:b/>
        <w:color w:val="404040"/>
      </w:rPr>
    </w:tblStylePr>
    <w:tblStylePr w:type="lastRow">
      <w:rPr>
        <w:b/>
        <w:color w:val="404040"/>
      </w:rPr>
    </w:tblStylePr>
  </w:style>
  <w:style w:type="table" w:styleId="126">
    <w:name w:val="List Table 4 - Accent 3"/>
    <w:basedOn w:val="642"/>
    <w:uiPriority w:val="9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themeFill="accent3" w:themeFillTint="40" w:themeColor="accent3" w:themeTint="40"/>
      </w:tcPr>
    </w:tblStylePr>
    <w:tblStylePr w:type="band1Vert">
      <w:rPr>
        <w:rFonts w:ascii="Arial" w:hAnsi="Arial"/>
        <w:color w:val="404040"/>
        <w:sz w:val="22"/>
      </w:rPr>
      <w:tcPr>
        <w:shd w:val="clear" w:color="FFFFFF" w:themeFill="accent3" w:themeFillTint="40" w:themeColor="accent3" w:themeTint="40"/>
      </w:tcPr>
    </w:tblStylePr>
    <w:tblStylePr w:type="firstCol">
      <w:rPr>
        <w:b/>
        <w:color w:val="404040"/>
      </w:rPr>
    </w:tblStylePr>
    <w:tblStylePr w:type="firstRow">
      <w:rPr>
        <w:rFonts w:ascii="Arial" w:hAnsi="Arial"/>
        <w:b/>
        <w:color w:val="FFFFFF"/>
        <w:sz w:val="22"/>
      </w:rPr>
      <w:tcPr>
        <w:shd w:val="clear" w:color="FFFFFF" w:themeFill="accent3" w:themeColor="accent3"/>
      </w:tcPr>
    </w:tblStylePr>
    <w:tblStylePr w:type="lastCol">
      <w:rPr>
        <w:b/>
        <w:color w:val="404040"/>
      </w:rPr>
    </w:tblStylePr>
    <w:tblStylePr w:type="lastRow">
      <w:rPr>
        <w:b/>
        <w:color w:val="404040"/>
      </w:rPr>
    </w:tblStylePr>
  </w:style>
  <w:style w:type="table" w:styleId="127">
    <w:name w:val="List Table 4 - Accent 4"/>
    <w:basedOn w:val="642"/>
    <w:uiPriority w:val="9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themeFill="accent4" w:themeFillTint="40" w:themeColor="accent4" w:themeTint="40"/>
      </w:tcPr>
    </w:tblStylePr>
    <w:tblStylePr w:type="band1Vert">
      <w:rPr>
        <w:rFonts w:ascii="Arial" w:hAnsi="Arial"/>
        <w:color w:val="404040"/>
        <w:sz w:val="22"/>
      </w:rPr>
      <w:tcPr>
        <w:shd w:val="clear" w:color="FFFFFF" w:themeFill="accent4" w:themeFillTint="40" w:themeColor="accent4" w:themeTint="40"/>
      </w:tcPr>
    </w:tblStylePr>
    <w:tblStylePr w:type="firstCol">
      <w:rPr>
        <w:b/>
        <w:color w:val="404040"/>
      </w:rPr>
    </w:tblStylePr>
    <w:tblStylePr w:type="firstRow">
      <w:rPr>
        <w:rFonts w:ascii="Arial" w:hAnsi="Arial"/>
        <w:b/>
        <w:color w:val="FFFFFF"/>
        <w:sz w:val="22"/>
      </w:rPr>
      <w:tcPr>
        <w:shd w:val="clear" w:color="FFFFFF" w:themeFill="accent4" w:themeColor="accent4"/>
      </w:tcPr>
    </w:tblStylePr>
    <w:tblStylePr w:type="lastCol">
      <w:rPr>
        <w:b/>
        <w:color w:val="404040"/>
      </w:rPr>
    </w:tblStylePr>
    <w:tblStylePr w:type="lastRow">
      <w:rPr>
        <w:b/>
        <w:color w:val="404040"/>
      </w:rPr>
    </w:tblStylePr>
  </w:style>
  <w:style w:type="table" w:styleId="128">
    <w:name w:val="List Table 4 - Accent 5"/>
    <w:basedOn w:val="642"/>
    <w:uiPriority w:val="9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themeFill="accent5" w:themeFillTint="40" w:themeColor="accent5" w:themeTint="40"/>
      </w:tcPr>
    </w:tblStylePr>
    <w:tblStylePr w:type="band1Vert">
      <w:rPr>
        <w:rFonts w:ascii="Arial" w:hAnsi="Arial"/>
        <w:color w:val="404040"/>
        <w:sz w:val="22"/>
      </w:rPr>
      <w:tcPr>
        <w:shd w:val="clear" w:color="FFFFFF" w:themeFill="accent5" w:themeFillTint="40" w:themeColor="accent5" w:themeTint="40"/>
      </w:tcPr>
    </w:tblStylePr>
    <w:tblStylePr w:type="firstCol">
      <w:rPr>
        <w:b/>
        <w:color w:val="404040"/>
      </w:rPr>
    </w:tblStylePr>
    <w:tblStylePr w:type="firstRow">
      <w:rPr>
        <w:rFonts w:ascii="Arial" w:hAnsi="Arial"/>
        <w:b/>
        <w:color w:val="FFFFFF"/>
        <w:sz w:val="22"/>
      </w:rPr>
      <w:tcPr>
        <w:shd w:val="clear" w:color="FFFFFF" w:themeFill="accent5" w:themeColor="accent5"/>
      </w:tcPr>
    </w:tblStylePr>
    <w:tblStylePr w:type="lastCol">
      <w:rPr>
        <w:b/>
        <w:color w:val="404040"/>
      </w:rPr>
    </w:tblStylePr>
    <w:tblStylePr w:type="lastRow">
      <w:rPr>
        <w:b/>
        <w:color w:val="404040"/>
      </w:rPr>
    </w:tblStylePr>
  </w:style>
  <w:style w:type="table" w:styleId="129">
    <w:name w:val="List Table 4 - Accent 6"/>
    <w:basedOn w:val="642"/>
    <w:uiPriority w:val="9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themeFill="accent6" w:themeFillTint="40" w:themeColor="accent6" w:themeTint="40"/>
      </w:tcPr>
    </w:tblStylePr>
    <w:tblStylePr w:type="band1Vert">
      <w:rPr>
        <w:rFonts w:ascii="Arial" w:hAnsi="Arial"/>
        <w:color w:val="404040"/>
        <w:sz w:val="22"/>
      </w:rPr>
      <w:tcPr>
        <w:shd w:val="clear" w:color="FFFFFF" w:themeFill="accent6" w:themeFillTint="40" w:themeColor="accent6" w:themeTint="40"/>
      </w:tcPr>
    </w:tblStylePr>
    <w:tblStylePr w:type="firstCol">
      <w:rPr>
        <w:b/>
        <w:color w:val="404040"/>
      </w:rPr>
    </w:tblStylePr>
    <w:tblStylePr w:type="firstRow">
      <w:rPr>
        <w:rFonts w:ascii="Arial" w:hAnsi="Arial"/>
        <w:b/>
        <w:color w:val="FFFFFF"/>
        <w:sz w:val="22"/>
      </w:rPr>
      <w:tcPr>
        <w:shd w:val="clear" w:color="FFFFFF" w:themeFill="accent6" w:themeColor="accent6"/>
      </w:tcPr>
    </w:tblStylePr>
    <w:tblStylePr w:type="lastCol">
      <w:rPr>
        <w:b/>
        <w:color w:val="404040"/>
      </w:rPr>
    </w:tblStylePr>
    <w:tblStylePr w:type="lastRow">
      <w:rPr>
        <w:b/>
        <w:color w:val="404040"/>
      </w:rPr>
    </w:tblStylePr>
  </w:style>
  <w:style w:type="table" w:styleId="130">
    <w:name w:val="List Table 5 Dark"/>
    <w:basedOn w:val="642"/>
    <w:uiPriority w:val="99"/>
    <w:pPr>
      <w:spacing w:lineRule="auto" w:line="240" w:after="0"/>
    </w:pPr>
    <w:tblPr>
      <w:tblStyleRowBandSize w:val="1"/>
      <w:tblStyleColBandSize w:val="1"/>
      <w:tblInd w:w="0" w:type="dxa"/>
      <w:tblBorders>
        <w:left w:val="single" w:color="000000" w:sz="32" w:space="0" w:themeColor="text1" w:themeTint="80"/>
        <w:top w:val="single" w:color="000000" w:sz="32" w:space="0" w:themeColor="text1" w:themeTint="80"/>
        <w:right w:val="single" w:color="000000" w:sz="32" w:space="0" w:themeColor="text1" w:themeTint="80"/>
        <w:bottom w:val="single" w:color="000000" w:sz="32" w:space="0" w:themeColor="text1" w:themeTint="80"/>
      </w:tblBorders>
      <w:shd w:val="clear" w:color="FFFFFF" w:themeFill="text1" w:themeFillTint="80" w:themeColor="text1" w:themeTint="80"/>
    </w:tblPr>
    <w:tblStylePr w:type="band1Horz">
      <w:tcPr>
        <w:shd w:val="clear" w:color="FFFFFF" w:themeFill="text1" w:themeFillTint="80" w:themeColor="text1" w:themeTint="80"/>
        <w:tcBorders>
          <w:top w:val="single" w:color="000000" w:sz="4" w:space="0" w:themeColor="light1"/>
          <w:bottom w:val="single" w:color="000000" w:sz="4" w:space="0" w:themeColor="light1"/>
        </w:tcBorders>
      </w:tcPr>
    </w:tblStylePr>
    <w:tblStylePr w:type="band1Vert">
      <w:tcPr>
        <w:shd w:val="clear" w:color="FFFFFF" w:themeFill="text1" w:themeFillTint="80" w:themeColor="text1" w:themeTint="80"/>
        <w:tcBorders>
          <w:left w:val="single" w:color="000000" w:sz="4" w:space="0" w:themeColor="light1"/>
          <w:right w:val="single" w:color="000000" w:sz="4" w:space="0" w:themeColor="light1"/>
        </w:tcBorders>
      </w:tcPr>
    </w:tblStylePr>
    <w:tblStylePr w:type="band2Horz">
      <w:tcPr>
        <w:shd w:val="clear" w:color="FFFFFF" w:themeFill="text1" w:themeFillTint="80" w:themeColor="text1" w:themeTint="80"/>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text1" w:themeTint="80"/>
          <w:right w:val="single" w:color="000000" w:sz="4" w:space="0" w:themeColor="light1"/>
        </w:tcBorders>
      </w:tcPr>
    </w:tblStylePr>
    <w:tblStylePr w:type="firstRow">
      <w:rPr>
        <w:rFonts w:ascii="Arial" w:hAnsi="Arial"/>
        <w:b/>
        <w:color w:val="FFFFFF" w:themeColor="light1"/>
        <w:sz w:val="22"/>
      </w:rPr>
      <w:tcPr>
        <w:shd w:val="clear" w:color="FFFFFF" w:themeFill="text1" w:themeFillTint="80" w:themeColor="text1" w:themeTint="80"/>
        <w:tcBorders>
          <w:top w:val="single" w:color="000000" w:sz="32" w:space="0" w:themeColor="text1" w:themeTint="80"/>
          <w:bottom w:val="single" w:color="000000" w:sz="12" w:space="0" w:themeColor="light1"/>
        </w:tcBorders>
      </w:tcPr>
    </w:tblStylePr>
    <w:tblStylePr w:type="lastCol">
      <w:tcPr>
        <w:tcBorders>
          <w:left w:val="single" w:color="000000" w:sz="4" w:space="0" w:themeColor="light1"/>
          <w:right w:val="single" w:color="000000" w:sz="32" w:space="0" w:themeColor="text1" w:themeTint="8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1">
    <w:name w:val="List Table 5 Dark - Accent 1"/>
    <w:basedOn w:val="642"/>
    <w:uiPriority w:val="99"/>
    <w:pPr>
      <w:spacing w:lineRule="auto" w:line="240" w:after="0"/>
    </w:pPr>
    <w:tblPr>
      <w:tblStyleRowBandSize w:val="1"/>
      <w:tblStyleColBandSize w:val="1"/>
      <w:tblInd w:w="0" w:type="dxa"/>
      <w:tblBorders>
        <w:left w:val="single" w:color="000000" w:sz="32" w:space="0" w:themeColor="accent1"/>
        <w:top w:val="single" w:color="000000" w:sz="32" w:space="0" w:themeColor="accent1"/>
        <w:right w:val="single" w:color="000000" w:sz="32" w:space="0" w:themeColor="accent1"/>
        <w:bottom w:val="single" w:color="000000" w:sz="32" w:space="0" w:themeColor="accent1"/>
      </w:tblBorders>
      <w:shd w:val="clear" w:color="FFFFFF" w:themeFill="accent1" w:themeColor="accent1"/>
    </w:tblPr>
    <w:tblStylePr w:type="band1Horz">
      <w:tcPr>
        <w:shd w:val="clear" w:color="FFFFFF" w:themeFill="accent1" w:themeColor="accent1"/>
        <w:tcBorders>
          <w:top w:val="single" w:color="000000" w:sz="4" w:space="0" w:themeColor="light1"/>
          <w:bottom w:val="single" w:color="000000" w:sz="4" w:space="0" w:themeColor="light1"/>
        </w:tcBorders>
      </w:tcPr>
    </w:tblStylePr>
    <w:tblStylePr w:type="band1Vert">
      <w:tcPr>
        <w:shd w:val="clear" w:color="FFFFFF" w:themeFill="accent1" w:themeColor="accent1"/>
        <w:tcBorders>
          <w:left w:val="single" w:color="000000" w:sz="4" w:space="0" w:themeColor="light1"/>
          <w:right w:val="single" w:color="000000" w:sz="4" w:space="0" w:themeColor="light1"/>
        </w:tcBorders>
      </w:tcPr>
    </w:tblStylePr>
    <w:tblStylePr w:type="band2Horz">
      <w:tcPr>
        <w:shd w:val="clear" w:color="FFFFFF" w:themeFill="accent1" w:themeColor="accent1"/>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1"/>
          <w:right w:val="single" w:color="000000" w:sz="4" w:space="0" w:themeColor="light1"/>
        </w:tcBorders>
      </w:tcPr>
    </w:tblStylePr>
    <w:tblStylePr w:type="firstRow">
      <w:rPr>
        <w:rFonts w:ascii="Arial" w:hAnsi="Arial"/>
        <w:b/>
        <w:color w:val="FFFFFF" w:themeColor="light1"/>
        <w:sz w:val="22"/>
      </w:rPr>
      <w:tcPr>
        <w:shd w:val="clear" w:color="FFFFFF" w:themeFill="accent1" w:themeColor="accent1"/>
        <w:tcBorders>
          <w:top w:val="single" w:color="000000" w:sz="32" w:space="0" w:themeColor="accent1"/>
          <w:bottom w:val="single" w:color="000000" w:sz="12" w:space="0" w:themeColor="light1"/>
        </w:tcBorders>
      </w:tcPr>
    </w:tblStylePr>
    <w:tblStylePr w:type="lastCol">
      <w:tcPr>
        <w:tcBorders>
          <w:left w:val="single" w:color="000000" w:sz="4" w:space="0" w:themeColor="light1"/>
          <w:right w:val="single" w:color="000000" w:sz="32" w:space="0" w:themeColor="accent1"/>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2"/>
    <w:basedOn w:val="642"/>
    <w:uiPriority w:val="99"/>
    <w:pPr>
      <w:spacing w:lineRule="auto" w:line="240" w:after="0"/>
    </w:pPr>
    <w:tblPr>
      <w:tblStyleRowBandSize w:val="1"/>
      <w:tblStyleColBandSize w:val="1"/>
      <w:tblInd w:w="0" w:type="dxa"/>
      <w:tblBorders>
        <w:left w:val="single" w:color="000000" w:sz="32" w:space="0" w:themeColor="accent2" w:themeTint="97"/>
        <w:top w:val="single" w:color="000000" w:sz="32" w:space="0" w:themeColor="accent2" w:themeTint="97"/>
        <w:right w:val="single" w:color="000000" w:sz="32" w:space="0" w:themeColor="accent2" w:themeTint="97"/>
        <w:bottom w:val="single" w:color="000000" w:sz="32" w:space="0" w:themeColor="accent2" w:themeTint="97"/>
      </w:tblBorders>
      <w:shd w:val="clear" w:color="FFFFFF" w:themeFill="accent2" w:themeFillTint="97" w:themeColor="accent2" w:themeTint="97"/>
    </w:tblPr>
    <w:tblStylePr w:type="band1Horz">
      <w:tcPr>
        <w:shd w:val="clear" w:color="FFFFFF" w:themeFill="accent2" w:themeFillTint="97" w:themeColor="accent2" w:themeTint="97"/>
        <w:tcBorders>
          <w:top w:val="single" w:color="000000" w:sz="4" w:space="0" w:themeColor="light1"/>
          <w:bottom w:val="single" w:color="000000" w:sz="4" w:space="0" w:themeColor="light1"/>
        </w:tcBorders>
      </w:tcPr>
    </w:tblStylePr>
    <w:tblStylePr w:type="band1Vert">
      <w:tcPr>
        <w:shd w:val="clear" w:color="FFFFFF" w:themeFill="accent2" w:themeFillTint="97" w:themeColor="accent2" w:themeTint="97"/>
        <w:tcBorders>
          <w:left w:val="single" w:color="000000" w:sz="4" w:space="0" w:themeColor="light1"/>
          <w:right w:val="single" w:color="000000" w:sz="4" w:space="0" w:themeColor="light1"/>
        </w:tcBorders>
      </w:tcPr>
    </w:tblStylePr>
    <w:tblStylePr w:type="band2Horz">
      <w:tcPr>
        <w:shd w:val="clear" w:color="FFFFFF" w:themeFill="accent2" w:themeFillTint="97" w:themeColor="accent2" w:themeTint="97"/>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2" w:themeTint="97"/>
          <w:right w:val="single" w:color="000000" w:sz="4" w:space="0" w:themeColor="light1"/>
        </w:tcBorders>
      </w:tcPr>
    </w:tblStylePr>
    <w:tblStylePr w:type="firstRow">
      <w:rPr>
        <w:rFonts w:ascii="Arial" w:hAnsi="Arial"/>
        <w:b/>
        <w:color w:val="FFFFFF" w:themeColor="light1"/>
        <w:sz w:val="22"/>
      </w:rPr>
      <w:tcPr>
        <w:shd w:val="clear" w:color="FFFFFF" w:themeFill="accent2" w:themeFillTint="97" w:themeColor="accent2" w:themeTint="97"/>
        <w:tcBorders>
          <w:top w:val="single" w:color="000000" w:sz="32" w:space="0" w:themeColor="accent2" w:themeTint="97"/>
          <w:bottom w:val="single" w:color="000000" w:sz="12" w:space="0" w:themeColor="light1"/>
        </w:tcBorders>
      </w:tcPr>
    </w:tblStylePr>
    <w:tblStylePr w:type="lastCol">
      <w:tcPr>
        <w:tcBorders>
          <w:left w:val="single" w:color="000000" w:sz="4" w:space="0" w:themeColor="light1"/>
          <w:right w:val="single" w:color="000000" w:sz="32" w:space="0" w:themeColor="accent2" w:themeTint="97"/>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3"/>
    <w:basedOn w:val="642"/>
    <w:uiPriority w:val="99"/>
    <w:pPr>
      <w:spacing w:lineRule="auto" w:line="240" w:after="0"/>
    </w:pPr>
    <w:tblPr>
      <w:tblStyleRowBandSize w:val="1"/>
      <w:tblStyleColBandSize w:val="1"/>
      <w:tblInd w:w="0" w:type="dxa"/>
      <w:tblBorders>
        <w:left w:val="single" w:color="000000" w:sz="32" w:space="0" w:themeColor="accent3" w:themeTint="98"/>
        <w:top w:val="single" w:color="000000" w:sz="32" w:space="0" w:themeColor="accent3" w:themeTint="98"/>
        <w:right w:val="single" w:color="000000" w:sz="32" w:space="0" w:themeColor="accent3" w:themeTint="98"/>
        <w:bottom w:val="single" w:color="000000" w:sz="32" w:space="0" w:themeColor="accent3" w:themeTint="98"/>
      </w:tblBorders>
      <w:shd w:val="clear" w:color="FFFFFF" w:themeFill="accent3" w:themeFillTint="98" w:themeColor="accent3" w:themeTint="98"/>
    </w:tblPr>
    <w:tblStylePr w:type="band1Horz">
      <w:tcPr>
        <w:shd w:val="clear" w:color="FFFFFF" w:themeFill="accent3" w:themeFillTint="98" w:themeColor="accent3" w:themeTint="98"/>
        <w:tcBorders>
          <w:top w:val="single" w:color="000000" w:sz="4" w:space="0" w:themeColor="light1"/>
          <w:bottom w:val="single" w:color="000000" w:sz="4" w:space="0" w:themeColor="light1"/>
        </w:tcBorders>
      </w:tcPr>
    </w:tblStylePr>
    <w:tblStylePr w:type="band1Vert">
      <w:tcPr>
        <w:shd w:val="clear" w:color="FFFFFF" w:themeFill="accent3" w:themeFillTint="98" w:themeColor="accent3" w:themeTint="98"/>
        <w:tcBorders>
          <w:left w:val="single" w:color="000000" w:sz="4" w:space="0" w:themeColor="light1"/>
          <w:right w:val="single" w:color="000000" w:sz="4" w:space="0" w:themeColor="light1"/>
        </w:tcBorders>
      </w:tcPr>
    </w:tblStylePr>
    <w:tblStylePr w:type="band2Horz">
      <w:tcPr>
        <w:shd w:val="clear" w:color="FFFFFF" w:themeFill="accent3" w:themeFillTint="98" w:themeColor="accent3" w:theme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3" w:themeTint="98"/>
          <w:right w:val="single" w:color="000000" w:sz="4" w:space="0" w:themeColor="light1"/>
        </w:tcBorders>
      </w:tcPr>
    </w:tblStylePr>
    <w:tblStylePr w:type="firstRow">
      <w:rPr>
        <w:rFonts w:ascii="Arial" w:hAnsi="Arial"/>
        <w:b/>
        <w:color w:val="FFFFFF" w:themeColor="light1"/>
        <w:sz w:val="22"/>
      </w:rPr>
      <w:tcPr>
        <w:shd w:val="clear" w:color="FFFFFF" w:themeFill="accent3" w:themeFillTint="98" w:themeColor="accent3" w:themeTint="98"/>
        <w:tcBorders>
          <w:top w:val="single" w:color="000000" w:sz="32" w:space="0" w:themeColor="accent3" w:themeTint="98"/>
          <w:bottom w:val="single" w:color="000000" w:sz="12" w:space="0" w:themeColor="light1"/>
        </w:tcBorders>
      </w:tcPr>
    </w:tblStylePr>
    <w:tblStylePr w:type="lastCol">
      <w:tcPr>
        <w:tcBorders>
          <w:left w:val="single" w:color="000000" w:sz="4" w:space="0" w:themeColor="light1"/>
          <w:right w:val="single" w:color="000000" w:sz="32" w:space="0" w:themeColor="accent3"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4"/>
    <w:basedOn w:val="642"/>
    <w:uiPriority w:val="99"/>
    <w:pPr>
      <w:spacing w:lineRule="auto" w:line="240" w:after="0"/>
    </w:pPr>
    <w:tblPr>
      <w:tblStyleRowBandSize w:val="1"/>
      <w:tblStyleColBandSize w:val="1"/>
      <w:tblInd w:w="0" w:type="dxa"/>
      <w:tblBorders>
        <w:left w:val="single" w:color="000000" w:sz="32" w:space="0" w:themeColor="accent4" w:themeTint="9A"/>
        <w:top w:val="single" w:color="000000" w:sz="32" w:space="0" w:themeColor="accent4" w:themeTint="9A"/>
        <w:right w:val="single" w:color="000000" w:sz="32" w:space="0" w:themeColor="accent4" w:themeTint="9A"/>
        <w:bottom w:val="single" w:color="000000" w:sz="32" w:space="0" w:themeColor="accent4" w:themeTint="9A"/>
      </w:tblBorders>
      <w:shd w:val="clear" w:color="FFFFFF" w:themeFill="accent4" w:themeFillTint="9A" w:themeColor="accent4" w:themeTint="9A"/>
    </w:tblPr>
    <w:tblStylePr w:type="band1Horz">
      <w:tcPr>
        <w:shd w:val="clear" w:color="FFFFFF" w:themeFill="accent4" w:themeFillTint="9A" w:themeColor="accent4" w:themeTint="9A"/>
        <w:tcBorders>
          <w:top w:val="single" w:color="000000" w:sz="4" w:space="0" w:themeColor="light1"/>
          <w:bottom w:val="single" w:color="000000" w:sz="4" w:space="0" w:themeColor="light1"/>
        </w:tcBorders>
      </w:tcPr>
    </w:tblStylePr>
    <w:tblStylePr w:type="band1Vert">
      <w:tcPr>
        <w:shd w:val="clear" w:color="FFFFFF" w:themeFill="accent4" w:themeFillTint="9A" w:themeColor="accent4" w:themeTint="9A"/>
        <w:tcBorders>
          <w:left w:val="single" w:color="000000" w:sz="4" w:space="0" w:themeColor="light1"/>
          <w:right w:val="single" w:color="000000" w:sz="4" w:space="0" w:themeColor="light1"/>
        </w:tcBorders>
      </w:tcPr>
    </w:tblStylePr>
    <w:tblStylePr w:type="band2Horz">
      <w:tcPr>
        <w:shd w:val="clear" w:color="FFFFFF" w:themeFill="accent4" w:themeFillTint="9A" w:themeColor="accent4" w:theme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4" w:themeTint="9A"/>
          <w:right w:val="single" w:color="000000" w:sz="4" w:space="0" w:themeColor="light1"/>
        </w:tcBorders>
      </w:tcPr>
    </w:tblStylePr>
    <w:tblStylePr w:type="firstRow">
      <w:rPr>
        <w:rFonts w:ascii="Arial" w:hAnsi="Arial"/>
        <w:b/>
        <w:color w:val="FFFFFF" w:themeColor="light1"/>
        <w:sz w:val="22"/>
      </w:rPr>
      <w:tcPr>
        <w:shd w:val="clear" w:color="FFFFFF" w:themeFill="accent4" w:themeFillTint="9A" w:themeColor="accent4" w:themeTint="9A"/>
        <w:tcBorders>
          <w:top w:val="single" w:color="000000" w:sz="32" w:space="0" w:themeColor="accent4" w:themeTint="9A"/>
          <w:bottom w:val="single" w:color="000000" w:sz="12" w:space="0" w:themeColor="light1"/>
        </w:tcBorders>
      </w:tcPr>
    </w:tblStylePr>
    <w:tblStylePr w:type="lastCol">
      <w:tcPr>
        <w:tcBorders>
          <w:left w:val="single" w:color="000000" w:sz="4" w:space="0" w:themeColor="light1"/>
          <w:right w:val="single" w:color="000000" w:sz="32" w:space="0" w:themeColor="accent4"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5"/>
    <w:basedOn w:val="642"/>
    <w:uiPriority w:val="99"/>
    <w:pPr>
      <w:spacing w:lineRule="auto" w:line="240" w:after="0"/>
    </w:pPr>
    <w:tblPr>
      <w:tblStyleRowBandSize w:val="1"/>
      <w:tblStyleColBandSize w:val="1"/>
      <w:tblInd w:w="0" w:type="dxa"/>
      <w:tblBorders>
        <w:left w:val="single" w:color="000000" w:sz="32" w:space="0" w:themeColor="accent5" w:themeTint="9A"/>
        <w:top w:val="single" w:color="000000" w:sz="32" w:space="0" w:themeColor="accent5" w:themeTint="9A"/>
        <w:right w:val="single" w:color="000000" w:sz="32" w:space="0" w:themeColor="accent5" w:themeTint="9A"/>
        <w:bottom w:val="single" w:color="000000" w:sz="32" w:space="0" w:themeColor="accent5" w:themeTint="9A"/>
      </w:tblBorders>
      <w:shd w:val="clear" w:color="FFFFFF" w:themeFill="accent5" w:themeFillTint="9A" w:themeColor="accent5" w:themeTint="9A"/>
    </w:tblPr>
    <w:tblStylePr w:type="band1Horz">
      <w:tcPr>
        <w:shd w:val="clear" w:color="FFFFFF" w:themeFill="accent5" w:themeFillTint="9A" w:themeColor="accent5" w:themeTint="9A"/>
        <w:tcBorders>
          <w:top w:val="single" w:color="000000" w:sz="4" w:space="0" w:themeColor="light1"/>
          <w:bottom w:val="single" w:color="000000" w:sz="4" w:space="0" w:themeColor="light1"/>
        </w:tcBorders>
      </w:tcPr>
    </w:tblStylePr>
    <w:tblStylePr w:type="band1Vert">
      <w:tcPr>
        <w:shd w:val="clear" w:color="FFFFFF" w:themeFill="accent5" w:themeFillTint="9A" w:themeColor="accent5" w:themeTint="9A"/>
        <w:tcBorders>
          <w:left w:val="single" w:color="000000" w:sz="4" w:space="0" w:themeColor="light1"/>
          <w:right w:val="single" w:color="000000" w:sz="4" w:space="0" w:themeColor="light1"/>
        </w:tcBorders>
      </w:tcPr>
    </w:tblStylePr>
    <w:tblStylePr w:type="band2Horz">
      <w:tcPr>
        <w:shd w:val="clear" w:color="FFFFFF" w:themeFill="accent5" w:themeFillTint="9A" w:themeColor="accent5" w:theme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5" w:themeTint="9A"/>
          <w:right w:val="single" w:color="000000" w:sz="4" w:space="0" w:themeColor="light1"/>
        </w:tcBorders>
      </w:tcPr>
    </w:tblStylePr>
    <w:tblStylePr w:type="firstRow">
      <w:rPr>
        <w:rFonts w:ascii="Arial" w:hAnsi="Arial"/>
        <w:b/>
        <w:color w:val="FFFFFF" w:themeColor="light1"/>
        <w:sz w:val="22"/>
      </w:rPr>
      <w:tcPr>
        <w:shd w:val="clear" w:color="FFFFFF" w:themeFill="accent5" w:themeFillTint="9A" w:themeColor="accent5" w:themeTint="9A"/>
        <w:tcBorders>
          <w:top w:val="single" w:color="000000" w:sz="32" w:space="0" w:themeColor="accent5" w:themeTint="9A"/>
          <w:bottom w:val="single" w:color="000000" w:sz="12" w:space="0" w:themeColor="light1"/>
        </w:tcBorders>
      </w:tcPr>
    </w:tblStylePr>
    <w:tblStylePr w:type="lastCol">
      <w:tcPr>
        <w:tcBorders>
          <w:left w:val="single" w:color="000000" w:sz="4" w:space="0" w:themeColor="light1"/>
          <w:right w:val="single" w:color="000000" w:sz="32" w:space="0" w:themeColor="accent5"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6"/>
    <w:basedOn w:val="642"/>
    <w:uiPriority w:val="99"/>
    <w:pPr>
      <w:spacing w:lineRule="auto" w:line="240" w:after="0"/>
    </w:pPr>
    <w:tblPr>
      <w:tblStyleRowBandSize w:val="1"/>
      <w:tblStyleColBandSize w:val="1"/>
      <w:tblInd w:w="0" w:type="dxa"/>
      <w:tblBorders>
        <w:left w:val="single" w:color="000000" w:sz="32" w:space="0" w:themeColor="accent6" w:themeTint="98"/>
        <w:top w:val="single" w:color="000000" w:sz="32" w:space="0" w:themeColor="accent6" w:themeTint="98"/>
        <w:right w:val="single" w:color="000000" w:sz="32" w:space="0" w:themeColor="accent6" w:themeTint="98"/>
        <w:bottom w:val="single" w:color="000000" w:sz="32" w:space="0" w:themeColor="accent6" w:themeTint="98"/>
      </w:tblBorders>
      <w:shd w:val="clear" w:color="FFFFFF" w:themeFill="accent6" w:themeFillTint="98" w:themeColor="accent6" w:themeTint="98"/>
    </w:tblPr>
    <w:tblStylePr w:type="band1Horz">
      <w:tcPr>
        <w:shd w:val="clear" w:color="FFFFFF" w:themeFill="accent6" w:themeFillTint="98" w:themeColor="accent6" w:themeTint="98"/>
        <w:tcBorders>
          <w:top w:val="single" w:color="000000" w:sz="4" w:space="0" w:themeColor="light1"/>
          <w:bottom w:val="single" w:color="000000" w:sz="4" w:space="0" w:themeColor="light1"/>
        </w:tcBorders>
      </w:tcPr>
    </w:tblStylePr>
    <w:tblStylePr w:type="band1Vert">
      <w:tcPr>
        <w:shd w:val="clear" w:color="FFFFFF" w:themeFill="accent6" w:themeFillTint="98" w:themeColor="accent6" w:themeTint="98"/>
        <w:tcBorders>
          <w:left w:val="single" w:color="000000" w:sz="4" w:space="0" w:themeColor="light1"/>
          <w:right w:val="single" w:color="000000" w:sz="4" w:space="0" w:themeColor="light1"/>
        </w:tcBorders>
      </w:tcPr>
    </w:tblStylePr>
    <w:tblStylePr w:type="band2Horz">
      <w:tcPr>
        <w:shd w:val="clear" w:color="FFFFFF" w:themeFill="accent6" w:themeFillTint="98" w:themeColor="accent6" w:theme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6" w:themeTint="98"/>
          <w:right w:val="single" w:color="000000" w:sz="4" w:space="0" w:themeColor="light1"/>
        </w:tcBorders>
      </w:tcPr>
    </w:tblStylePr>
    <w:tblStylePr w:type="firstRow">
      <w:rPr>
        <w:rFonts w:ascii="Arial" w:hAnsi="Arial"/>
        <w:b/>
        <w:color w:val="FFFFFF" w:themeColor="light1"/>
        <w:sz w:val="22"/>
      </w:rPr>
      <w:tcPr>
        <w:shd w:val="clear" w:color="FFFFFF" w:themeFill="accent6" w:themeFillTint="98" w:themeColor="accent6" w:themeTint="98"/>
        <w:tcBorders>
          <w:top w:val="single" w:color="000000" w:sz="32" w:space="0" w:themeColor="accent6" w:themeTint="98"/>
          <w:bottom w:val="single" w:color="000000" w:sz="12" w:space="0" w:themeColor="light1"/>
        </w:tcBorders>
      </w:tcPr>
    </w:tblStylePr>
    <w:tblStylePr w:type="lastCol">
      <w:tcPr>
        <w:tcBorders>
          <w:left w:val="single" w:color="000000" w:sz="4" w:space="0" w:themeColor="light1"/>
          <w:right w:val="single" w:color="000000" w:sz="32" w:space="0" w:themeColor="accent6"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6 Colorful"/>
    <w:basedOn w:val="642"/>
    <w:uiPriority w:val="99"/>
    <w:pPr>
      <w:spacing w:lineRule="auto" w:line="240" w:after="0"/>
    </w:pPr>
    <w:tblPr>
      <w:tblStyleRowBandSize w:val="1"/>
      <w:tblStyleColBandSize w:val="1"/>
      <w:tblInd w:w="0" w:type="dxa"/>
      <w:tblBorders>
        <w:top w:val="single" w:color="000000" w:sz="4" w:space="0" w:themeColor="text1" w:themeTint="80"/>
        <w:bottom w:val="single" w:color="000000" w:sz="4" w:space="0" w:themeColor="text1" w:themeTint="80"/>
      </w:tblBorders>
    </w:tblPr>
    <w:tblStylePr w:type="band1Horz">
      <w:rPr>
        <w:rFonts w:ascii="Arial" w:hAnsi="Arial"/>
        <w:color w:val="404040" w:themeColor="text1"/>
        <w:sz w:val="22"/>
      </w:rPr>
      <w:tcPr>
        <w:shd w:val="clear" w:color="FFFFFF" w:themeFill="text1" w:themeFillTint="40" w:themeColor="text1" w:themeTint="40"/>
      </w:tcPr>
    </w:tblStylePr>
    <w:tblStylePr w:type="band1Vert">
      <w:tcPr>
        <w:shd w:val="clear" w:color="FFFFFF" w:themeFill="text1" w:themeFillTint="40" w:themeColor="text1" w:theme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sz="4" w:space="0" w:themeColor="text1" w:themeTint="80"/>
        </w:tcBorders>
      </w:tcPr>
    </w:tblStylePr>
    <w:tblStylePr w:type="lastCol">
      <w:rPr>
        <w:b/>
        <w:color w:val="000000" w:themeColor="text1"/>
      </w:rPr>
    </w:tblStylePr>
    <w:tblStylePr w:type="lastRow">
      <w:rPr>
        <w:b/>
        <w:color w:val="000000" w:themeColor="text1"/>
      </w:rPr>
      <w:tcPr>
        <w:tcBorders>
          <w:top w:val="single" w:color="000000" w:sz="4" w:space="0" w:themeColor="text1" w:themeTint="80"/>
        </w:tcBorders>
      </w:tcPr>
    </w:tblStylePr>
  </w:style>
  <w:style w:type="table" w:styleId="138">
    <w:name w:val="List Table 6 Colorful - Accent 1"/>
    <w:basedOn w:val="642"/>
    <w:uiPriority w:val="99"/>
    <w:pPr>
      <w:spacing w:lineRule="auto" w:line="240" w:after="0"/>
    </w:pPr>
    <w:tblPr>
      <w:tblStyleRowBandSize w:val="1"/>
      <w:tblStyleColBandSize w:val="1"/>
      <w:tblInd w:w="0" w:type="dxa"/>
      <w:tblBorders>
        <w:top w:val="single" w:color="000000" w:sz="4" w:space="0" w:themeColor="accent1"/>
        <w:bottom w:val="single" w:color="000000" w:sz="4" w:space="0" w:themeColor="accent1"/>
      </w:tblBorders>
    </w:tblPr>
    <w:tblStylePr w:type="band1Horz">
      <w:rPr>
        <w:rFonts w:ascii="Arial" w:hAnsi="Arial"/>
        <w:color w:val="404040" w:themeColor="accent1" w:themeShade="95"/>
        <w:sz w:val="22"/>
      </w:rPr>
      <w:tcPr>
        <w:shd w:val="clear" w:color="FFFFFF" w:themeFill="accent1" w:themeFillTint="40" w:themeColor="accent1" w:themeTint="40"/>
      </w:tcPr>
    </w:tblStylePr>
    <w:tblStylePr w:type="band1Vert">
      <w:tcPr>
        <w:shd w:val="clear" w:color="FFFFFF" w:themeFill="accent1" w:themeFillTint="40" w:themeColor="accent1" w:theme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sz="4" w:space="0" w:themeColor="accent1"/>
        </w:tcBorders>
      </w:tcPr>
    </w:tblStylePr>
    <w:tblStylePr w:type="lastCol">
      <w:rPr>
        <w:b/>
        <w:color w:val="2A4B71" w:themeColor="accent1" w:themeShade="95"/>
      </w:rPr>
    </w:tblStylePr>
    <w:tblStylePr w:type="lastRow">
      <w:rPr>
        <w:b/>
        <w:color w:val="2A4B71" w:themeColor="accent1" w:themeShade="95"/>
      </w:rPr>
      <w:tcPr>
        <w:tcBorders>
          <w:top w:val="single" w:color="000000" w:sz="4" w:space="0" w:themeColor="accent1"/>
        </w:tcBorders>
      </w:tcPr>
    </w:tblStylePr>
  </w:style>
  <w:style w:type="table" w:styleId="139">
    <w:name w:val="List Table 6 Colorful - Accent 2"/>
    <w:basedOn w:val="642"/>
    <w:uiPriority w:val="99"/>
    <w:pPr>
      <w:spacing w:lineRule="auto" w:line="240" w:after="0"/>
    </w:pPr>
    <w:tblPr>
      <w:tblStyleRowBandSize w:val="1"/>
      <w:tblStyleColBandSize w:val="1"/>
      <w:tblInd w:w="0" w:type="dxa"/>
      <w:tblBorders>
        <w:top w:val="single" w:color="000000" w:sz="4" w:space="0" w:themeColor="accent2" w:themeTint="97"/>
        <w:bottom w:val="single" w:color="000000" w:sz="4" w:space="0" w:themeColor="accent2" w:themeTint="97"/>
      </w:tblBorders>
    </w:tblPr>
    <w:tblStylePr w:type="band1Horz">
      <w:rPr>
        <w:rFonts w:ascii="Arial" w:hAnsi="Arial"/>
        <w:color w:val="404040" w:themeColor="accent2" w:themeTint="97" w:themeShade="95"/>
        <w:sz w:val="22"/>
      </w:rPr>
      <w:tcPr>
        <w:shd w:val="clear" w:color="FFFFFF" w:themeFill="accent2" w:themeFillTint="40" w:themeColor="accent2" w:themeTint="40"/>
      </w:tcPr>
    </w:tblStylePr>
    <w:tblStylePr w:type="band1Vert">
      <w:tcPr>
        <w:shd w:val="clear" w:color="FFFFFF" w:themeFill="accent2" w:themeFillTint="40" w:themeColor="accent2" w:theme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sz="4" w:space="0" w:themeColor="accent2" w:themeTint="97"/>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sz="4" w:space="0" w:themeColor="accent2" w:themeTint="97"/>
        </w:tcBorders>
      </w:tcPr>
    </w:tblStylePr>
  </w:style>
  <w:style w:type="table" w:styleId="140">
    <w:name w:val="List Table 6 Colorful - Accent 3"/>
    <w:basedOn w:val="642"/>
    <w:uiPriority w:val="99"/>
    <w:pPr>
      <w:spacing w:lineRule="auto" w:line="240" w:after="0"/>
    </w:pPr>
    <w:tblPr>
      <w:tblStyleRowBandSize w:val="1"/>
      <w:tblStyleColBandSize w:val="1"/>
      <w:tblInd w:w="0" w:type="dxa"/>
      <w:tblBorders>
        <w:top w:val="single" w:color="000000" w:sz="4" w:space="0" w:themeColor="accent3" w:themeTint="98"/>
        <w:bottom w:val="single" w:color="000000" w:sz="4" w:space="0" w:themeColor="accent3" w:themeTint="98"/>
      </w:tblBorders>
    </w:tblPr>
    <w:tblStylePr w:type="band1Horz">
      <w:rPr>
        <w:rFonts w:ascii="Arial" w:hAnsi="Arial"/>
        <w:color w:val="404040" w:themeColor="accent3" w:themeTint="98" w:themeShade="95"/>
        <w:sz w:val="22"/>
      </w:rPr>
      <w:tcPr>
        <w:shd w:val="clear" w:color="FFFFFF" w:themeFill="accent3" w:themeFillTint="40" w:themeColor="accent3" w:themeTint="40"/>
      </w:tcPr>
    </w:tblStylePr>
    <w:tblStylePr w:type="band1Vert">
      <w:tcPr>
        <w:shd w:val="clear" w:color="FFFFFF" w:themeFill="accent3" w:themeFillTint="40" w:themeColor="accent3" w:theme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sz="4" w:space="0" w:themeColor="accent3" w:themeTint="98"/>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sz="4" w:space="0" w:themeColor="accent3" w:themeTint="98"/>
        </w:tcBorders>
      </w:tcPr>
    </w:tblStylePr>
  </w:style>
  <w:style w:type="table" w:styleId="141">
    <w:name w:val="List Table 6 Colorful - Accent 4"/>
    <w:basedOn w:val="642"/>
    <w:uiPriority w:val="99"/>
    <w:pPr>
      <w:spacing w:lineRule="auto" w:line="240" w:after="0"/>
    </w:pPr>
    <w:tblPr>
      <w:tblStyleRowBandSize w:val="1"/>
      <w:tblStyleColBandSize w:val="1"/>
      <w:tblInd w:w="0" w:type="dxa"/>
      <w:tblBorders>
        <w:top w:val="single" w:color="000000" w:sz="4" w:space="0" w:themeColor="accent4" w:themeTint="9A"/>
        <w:bottom w:val="single" w:color="000000" w:sz="4" w:space="0" w:themeColor="accent4" w:themeTint="9A"/>
      </w:tblBorders>
    </w:tblPr>
    <w:tblStylePr w:type="band1Horz">
      <w:rPr>
        <w:rFonts w:ascii="Arial" w:hAnsi="Arial"/>
        <w:color w:val="404040" w:themeColor="accent4" w:themeTint="9A" w:themeShade="95"/>
        <w:sz w:val="22"/>
      </w:rPr>
      <w:tcPr>
        <w:shd w:val="clear" w:color="FFFFFF" w:themeFill="accent4" w:themeFillTint="40" w:themeColor="accent4" w:themeTint="40"/>
      </w:tcPr>
    </w:tblStylePr>
    <w:tblStylePr w:type="band1Vert">
      <w:tcPr>
        <w:shd w:val="clear" w:color="FFFFFF" w:themeFill="accent4" w:themeFillTint="40" w:themeColor="accent4" w:theme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sz="4" w:space="0" w:themeColor="accent4" w:themeTint="9A"/>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sz="4" w:space="0" w:themeColor="accent4" w:themeTint="9A"/>
        </w:tcBorders>
      </w:tcPr>
    </w:tblStylePr>
  </w:style>
  <w:style w:type="table" w:styleId="142">
    <w:name w:val="List Table 6 Colorful - Accent 5"/>
    <w:basedOn w:val="642"/>
    <w:uiPriority w:val="99"/>
    <w:pPr>
      <w:spacing w:lineRule="auto" w:line="240" w:after="0"/>
    </w:pPr>
    <w:tblPr>
      <w:tblStyleRowBandSize w:val="1"/>
      <w:tblStyleColBandSize w:val="1"/>
      <w:tblInd w:w="0" w:type="dxa"/>
      <w:tblBorders>
        <w:top w:val="single" w:color="000000" w:sz="4" w:space="0" w:themeColor="accent5" w:themeTint="9A"/>
        <w:bottom w:val="single" w:color="000000" w:sz="4" w:space="0" w:themeColor="accent5" w:themeTint="9A"/>
      </w:tblBorders>
    </w:tblPr>
    <w:tblStylePr w:type="band1Horz">
      <w:rPr>
        <w:rFonts w:ascii="Arial" w:hAnsi="Arial"/>
        <w:color w:val="404040" w:themeColor="accent5" w:themeTint="9A" w:themeShade="95"/>
        <w:sz w:val="22"/>
      </w:rPr>
      <w:tcPr>
        <w:shd w:val="clear" w:color="FFFFFF" w:themeFill="accent5" w:themeFillTint="40" w:themeColor="accent5" w:themeTint="40"/>
      </w:tcPr>
    </w:tblStylePr>
    <w:tblStylePr w:type="band1Vert">
      <w:tcPr>
        <w:shd w:val="clear" w:color="FFFFFF" w:themeFill="accent5" w:themeFillTint="40" w:themeColor="accent5" w:theme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sz="4" w:space="0" w:themeColor="accent5" w:themeTint="9A"/>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sz="4" w:space="0" w:themeColor="accent5" w:themeTint="9A"/>
        </w:tcBorders>
      </w:tcPr>
    </w:tblStylePr>
  </w:style>
  <w:style w:type="table" w:styleId="143">
    <w:name w:val="List Table 6 Colorful - Accent 6"/>
    <w:basedOn w:val="642"/>
    <w:uiPriority w:val="99"/>
    <w:pPr>
      <w:spacing w:lineRule="auto" w:line="240" w:after="0"/>
    </w:pPr>
    <w:tblPr>
      <w:tblStyleRowBandSize w:val="1"/>
      <w:tblStyleColBandSize w:val="1"/>
      <w:tblInd w:w="0" w:type="dxa"/>
      <w:tblBorders>
        <w:top w:val="single" w:color="000000" w:sz="4" w:space="0" w:themeColor="accent6" w:themeTint="98"/>
        <w:bottom w:val="single" w:color="000000" w:sz="4" w:space="0" w:themeColor="accent6" w:themeTint="98"/>
      </w:tblBorders>
    </w:tblPr>
    <w:tblStylePr w:type="band1Horz">
      <w:rPr>
        <w:rFonts w:ascii="Arial" w:hAnsi="Arial"/>
        <w:color w:val="404040" w:themeColor="accent6" w:themeTint="98" w:themeShade="95"/>
        <w:sz w:val="22"/>
      </w:rPr>
      <w:tcPr>
        <w:shd w:val="clear" w:color="FFFFFF" w:themeFill="accent6" w:themeFillTint="40" w:themeColor="accent6" w:themeTint="40"/>
      </w:tcPr>
    </w:tblStylePr>
    <w:tblStylePr w:type="band1Vert">
      <w:tcPr>
        <w:shd w:val="clear" w:color="FFFFFF" w:themeFill="accent6" w:themeFillTint="40" w:themeColor="accent6" w:theme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sz="4" w:space="0" w:themeColor="accent6" w:themeTint="98"/>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sz="4" w:space="0" w:themeColor="accent6" w:themeTint="98"/>
        </w:tcBorders>
      </w:tcPr>
    </w:tblStylePr>
  </w:style>
  <w:style w:type="table" w:styleId="144">
    <w:name w:val="List Table 7 Colorful"/>
    <w:basedOn w:val="642"/>
    <w:uiPriority w:val="99"/>
    <w:pPr>
      <w:spacing w:lineRule="auto" w:line="240" w:after="0"/>
    </w:pPr>
    <w:tblPr>
      <w:tblStyleRowBandSize w:val="1"/>
      <w:tblStyleColBandSize w:val="1"/>
      <w:tblInd w:w="0" w:type="dxa"/>
      <w:tblBorders>
        <w:right w:val="single" w:color="000000" w:sz="4" w:space="0" w:themeColor="text1" w:themeTint="80"/>
      </w:tblBorders>
    </w:tblPr>
    <w:tblStylePr w:type="band1Horz">
      <w:rPr>
        <w:rFonts w:ascii="Arial" w:hAnsi="Arial"/>
        <w:color w:val="4A4A4A" w:themeColor="text1" w:themeTint="80" w:themeShade="95"/>
        <w:sz w:val="22"/>
      </w:rPr>
      <w:tcPr>
        <w:shd w:val="clear" w:color="FFFFFF" w:themeFill="text1" w:themeFillTint="40" w:themeColor="text1" w:themeTint="40"/>
      </w:tcPr>
    </w:tblStylePr>
    <w:tblStylePr w:type="band1Vert">
      <w:tcPr>
        <w:shd w:val="clear" w:color="FFFFFF" w:themeFill="text1" w:themeFillTint="40" w:themeColor="text1" w:theme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left w:val="none"/>
          <w:top w:val="none"/>
          <w:right w:val="single" w:color="000000" w:sz="4" w:space="0" w:themeColor="text1" w:themeTint="80"/>
          <w:bottom w:val="none"/>
        </w:tcBorders>
      </w:tcPr>
    </w:tblStylePr>
    <w:tblStylePr w:type="firstRow">
      <w:rPr>
        <w:rFonts w:ascii="Arial" w:hAnsi="Arial"/>
        <w:i/>
        <w:color w:val="4A4A4A" w:themeColor="text1" w:themeTint="80" w:themeShade="95"/>
        <w:sz w:val="22"/>
      </w:rPr>
      <w:tcPr>
        <w:shd w:val="clear" w:color="FFFFFF" w:themeFill="light1" w:themeColor="light1"/>
        <w:tcBorders>
          <w:left w:val="none"/>
          <w:top w:val="none"/>
          <w:right w:val="none"/>
          <w:bottom w:val="single" w:color="000000" w:sz="4" w:space="0" w:themeColor="text1" w:themeTint="80"/>
        </w:tcBorders>
      </w:tcPr>
    </w:tblStylePr>
    <w:tblStylePr w:type="lastCol">
      <w:rPr>
        <w:rFonts w:ascii="Arial" w:hAnsi="Arial"/>
        <w:i/>
        <w:color w:val="4A4A4A" w:themeColor="text1" w:themeTint="80" w:themeShade="95"/>
        <w:sz w:val="22"/>
      </w:rPr>
      <w:tcPr>
        <w:shd w:color="FFFFFF"/>
        <w:tcBorders>
          <w:left w:val="single" w:color="000000" w:sz="4" w:space="0" w:themeColor="text1" w:themeTint="80"/>
          <w:top w:val="none"/>
          <w:right w:val="none"/>
          <w:bottom w:val="none"/>
        </w:tcBorders>
      </w:tcPr>
    </w:tblStylePr>
    <w:tblStylePr w:type="lastRow">
      <w:rPr>
        <w:rFonts w:ascii="Arial" w:hAnsi="Arial"/>
        <w:i/>
        <w:color w:val="4A4A4A" w:themeColor="text1" w:themeTint="80" w:themeShade="95"/>
        <w:sz w:val="22"/>
      </w:rPr>
      <w:tcPr>
        <w:shd w:val="clear" w:color="FFFFFF" w:themeFill="light1" w:themeColor="light1"/>
        <w:tcBorders>
          <w:left w:val="none"/>
          <w:top w:val="single" w:color="000000" w:sz="4" w:space="0" w:themeColor="text1" w:themeTint="80"/>
          <w:right w:val="none"/>
          <w:bottom w:val="none"/>
        </w:tcBorders>
      </w:tcPr>
    </w:tblStylePr>
    <w:tblStylePr w:type="wholeTable">
      <w:rPr>
        <w:rFonts w:ascii="Arial" w:hAnsi="Arial"/>
        <w:color w:val="4A4A4A" w:themeColor="text1" w:themeTint="80" w:themeShade="95"/>
        <w:sz w:val="22"/>
      </w:rPr>
    </w:tblStylePr>
  </w:style>
  <w:style w:type="table" w:styleId="145">
    <w:name w:val="List Table 7 Colorful - Accent 1"/>
    <w:basedOn w:val="642"/>
    <w:uiPriority w:val="99"/>
    <w:pPr>
      <w:spacing w:lineRule="auto" w:line="240" w:after="0"/>
    </w:pPr>
    <w:tblPr>
      <w:tblStyleRowBandSize w:val="1"/>
      <w:tblStyleColBandSize w:val="1"/>
      <w:tblInd w:w="0" w:type="dxa"/>
      <w:tblBorders>
        <w:right w:val="single" w:color="000000" w:sz="4" w:space="0" w:themeColor="accent1"/>
      </w:tblBorders>
    </w:tblPr>
    <w:tblStylePr w:type="band1Horz">
      <w:rPr>
        <w:rFonts w:ascii="Arial" w:hAnsi="Arial"/>
        <w:color w:val="2A4B71" w:themeColor="accent1" w:themeShade="95"/>
        <w:sz w:val="22"/>
      </w:rPr>
      <w:tcPr>
        <w:shd w:val="clear" w:color="FFFFFF" w:themeFill="accent1" w:themeFillTint="40" w:themeColor="accent1" w:themeTint="40"/>
      </w:tcPr>
    </w:tblStylePr>
    <w:tblStylePr w:type="band1Vert">
      <w:tcPr>
        <w:shd w:val="clear" w:color="FFFFFF" w:themeFill="accent1" w:themeFillTint="40" w:themeColor="accent1" w:theme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left w:val="none"/>
          <w:top w:val="none"/>
          <w:right w:val="single" w:color="000000" w:sz="4" w:space="0" w:themeColor="accent1"/>
          <w:bottom w:val="none"/>
        </w:tcBorders>
      </w:tcPr>
    </w:tblStylePr>
    <w:tblStylePr w:type="firstRow">
      <w:rPr>
        <w:rFonts w:ascii="Arial" w:hAnsi="Arial"/>
        <w:i/>
        <w:color w:val="2A4B71" w:themeColor="accent1" w:themeShade="95"/>
        <w:sz w:val="22"/>
      </w:rPr>
      <w:tcPr>
        <w:shd w:val="clear" w:color="FFFFFF" w:themeFill="light1" w:themeColor="light1"/>
        <w:tcBorders>
          <w:left w:val="none"/>
          <w:top w:val="none"/>
          <w:right w:val="none"/>
          <w:bottom w:val="single" w:color="000000" w:sz="4" w:space="0" w:themeColor="accent1"/>
        </w:tcBorders>
      </w:tcPr>
    </w:tblStylePr>
    <w:tblStylePr w:type="lastCol">
      <w:rPr>
        <w:rFonts w:ascii="Arial" w:hAnsi="Arial"/>
        <w:i/>
        <w:color w:val="2A4B71" w:themeColor="accent1" w:themeShade="95"/>
        <w:sz w:val="22"/>
      </w:rPr>
      <w:tcPr>
        <w:shd w:color="FFFFFF"/>
        <w:tcBorders>
          <w:left w:val="single" w:color="000000" w:sz="4" w:space="0" w:themeColor="accent1"/>
          <w:top w:val="none"/>
          <w:right w:val="none"/>
          <w:bottom w:val="none"/>
        </w:tcBorders>
      </w:tcPr>
    </w:tblStylePr>
    <w:tblStylePr w:type="lastRow">
      <w:rPr>
        <w:rFonts w:ascii="Arial" w:hAnsi="Arial"/>
        <w:i/>
        <w:color w:val="2A4B71" w:themeColor="accent1" w:themeShade="95"/>
        <w:sz w:val="22"/>
      </w:rPr>
      <w:tcPr>
        <w:shd w:val="clear" w:color="FFFFFF" w:themeFill="light1" w:themeColor="light1"/>
        <w:tcBorders>
          <w:left w:val="none"/>
          <w:top w:val="single" w:color="000000" w:sz="4" w:space="0" w:themeColor="accent1"/>
          <w:right w:val="none"/>
          <w:bottom w:val="none"/>
        </w:tcBorders>
      </w:tcPr>
    </w:tblStylePr>
    <w:tblStylePr w:type="wholeTable">
      <w:rPr>
        <w:rFonts w:ascii="Arial" w:hAnsi="Arial"/>
        <w:color w:val="2A4B71" w:themeColor="accent1" w:themeShade="95"/>
        <w:sz w:val="22"/>
      </w:rPr>
    </w:tblStylePr>
  </w:style>
  <w:style w:type="table" w:styleId="146">
    <w:name w:val="List Table 7 Colorful - Accent 2"/>
    <w:basedOn w:val="642"/>
    <w:uiPriority w:val="99"/>
    <w:pPr>
      <w:spacing w:lineRule="auto" w:line="240" w:after="0"/>
    </w:pPr>
    <w:tblPr>
      <w:tblStyleRowBandSize w:val="1"/>
      <w:tblStyleColBandSize w:val="1"/>
      <w:tblInd w:w="0" w:type="dxa"/>
      <w:tblBorders>
        <w:right w:val="single" w:color="000000" w:sz="4" w:space="0" w:themeColor="accent2" w:themeTint="97"/>
      </w:tblBorders>
    </w:tblPr>
    <w:tblStylePr w:type="band1Horz">
      <w:rPr>
        <w:rFonts w:ascii="Arial" w:hAnsi="Arial"/>
        <w:color w:val="9C3A37" w:themeColor="accent2" w:themeTint="97" w:themeShade="95"/>
        <w:sz w:val="22"/>
      </w:rPr>
      <w:tcPr>
        <w:shd w:val="clear" w:color="FFFFFF" w:themeFill="accent2" w:themeFillTint="40" w:themeColor="accent2" w:themeTint="40"/>
      </w:tcPr>
    </w:tblStylePr>
    <w:tblStylePr w:type="band1Vert">
      <w:tcPr>
        <w:shd w:val="clear" w:color="FFFFFF" w:themeFill="accent2" w:themeFillTint="40" w:themeColor="accent2" w:theme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left w:val="none"/>
          <w:top w:val="none"/>
          <w:right w:val="single" w:color="000000" w:sz="4" w:space="0" w:themeColor="accent2" w:themeTint="97"/>
          <w:bottom w:val="none"/>
        </w:tcBorders>
      </w:tcPr>
    </w:tblStylePr>
    <w:tblStylePr w:type="firstRow">
      <w:rPr>
        <w:rFonts w:ascii="Arial" w:hAnsi="Arial"/>
        <w:i/>
        <w:color w:val="9C3A37" w:themeColor="accent2" w:themeTint="97" w:themeShade="95"/>
        <w:sz w:val="22"/>
      </w:rPr>
      <w:tcPr>
        <w:shd w:val="clear" w:color="FFFFFF" w:themeFill="light1" w:themeColor="light1"/>
        <w:tcBorders>
          <w:left w:val="none"/>
          <w:top w:val="none"/>
          <w:right w:val="none"/>
          <w:bottom w:val="single" w:color="000000" w:sz="4" w:space="0" w:themeColor="accent2" w:themeTint="97"/>
        </w:tcBorders>
      </w:tcPr>
    </w:tblStylePr>
    <w:tblStylePr w:type="lastCol">
      <w:rPr>
        <w:rFonts w:ascii="Arial" w:hAnsi="Arial"/>
        <w:i/>
        <w:color w:val="9C3A37" w:themeColor="accent2" w:themeTint="97" w:themeShade="95"/>
        <w:sz w:val="22"/>
      </w:rPr>
      <w:tcPr>
        <w:shd w:color="FFFFFF"/>
        <w:tcBorders>
          <w:left w:val="single" w:color="000000" w:sz="4" w:space="0" w:themeColor="accent2" w:themeTint="97"/>
          <w:top w:val="none"/>
          <w:right w:val="none"/>
          <w:bottom w:val="none"/>
        </w:tcBorders>
      </w:tcPr>
    </w:tblStylePr>
    <w:tblStylePr w:type="lastRow">
      <w:rPr>
        <w:rFonts w:ascii="Arial" w:hAnsi="Arial"/>
        <w:i/>
        <w:color w:val="9C3A37" w:themeColor="accent2" w:themeTint="97" w:themeShade="95"/>
        <w:sz w:val="22"/>
      </w:rPr>
      <w:tcPr>
        <w:shd w:val="clear" w:color="FFFFFF" w:themeFill="light1" w:themeColor="light1"/>
        <w:tcBorders>
          <w:left w:val="none"/>
          <w:top w:val="single" w:color="000000" w:sz="4" w:space="0" w:themeColor="accent2" w:themeTint="97"/>
          <w:right w:val="none"/>
          <w:bottom w:val="none"/>
        </w:tcBorders>
      </w:tcPr>
    </w:tblStylePr>
    <w:tblStylePr w:type="wholeTable">
      <w:rPr>
        <w:rFonts w:ascii="Arial" w:hAnsi="Arial"/>
        <w:color w:val="9C3A37" w:themeColor="accent2" w:themeTint="97" w:themeShade="95"/>
        <w:sz w:val="22"/>
      </w:rPr>
    </w:tblStylePr>
  </w:style>
  <w:style w:type="table" w:styleId="147">
    <w:name w:val="List Table 7 Colorful - Accent 3"/>
    <w:basedOn w:val="642"/>
    <w:uiPriority w:val="99"/>
    <w:pPr>
      <w:spacing w:lineRule="auto" w:line="240" w:after="0"/>
    </w:pPr>
    <w:tblPr>
      <w:tblStyleRowBandSize w:val="1"/>
      <w:tblStyleColBandSize w:val="1"/>
      <w:tblInd w:w="0" w:type="dxa"/>
      <w:tblBorders>
        <w:right w:val="single" w:color="000000" w:sz="4" w:space="0" w:themeColor="accent3" w:themeTint="98"/>
      </w:tblBorders>
    </w:tblPr>
    <w:tblStylePr w:type="band1Horz">
      <w:rPr>
        <w:rFonts w:ascii="Arial" w:hAnsi="Arial"/>
        <w:color w:val="7C983F" w:themeColor="accent3" w:themeTint="98" w:themeShade="95"/>
        <w:sz w:val="22"/>
      </w:rPr>
      <w:tcPr>
        <w:shd w:val="clear" w:color="FFFFFF" w:themeFill="accent3" w:themeFillTint="40" w:themeColor="accent3" w:themeTint="40"/>
      </w:tcPr>
    </w:tblStylePr>
    <w:tblStylePr w:type="band1Vert">
      <w:tcPr>
        <w:shd w:val="clear" w:color="FFFFFF" w:themeFill="accent3" w:themeFillTint="40" w:themeColor="accent3" w:theme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left w:val="none"/>
          <w:top w:val="none"/>
          <w:right w:val="single" w:color="000000" w:sz="4" w:space="0" w:themeColor="accent3" w:themeTint="98"/>
          <w:bottom w:val="none"/>
        </w:tcBorders>
      </w:tcPr>
    </w:tblStylePr>
    <w:tblStylePr w:type="firstRow">
      <w:rPr>
        <w:rFonts w:ascii="Arial" w:hAnsi="Arial"/>
        <w:i/>
        <w:color w:val="7C983F" w:themeColor="accent3" w:themeTint="98" w:themeShade="95"/>
        <w:sz w:val="22"/>
      </w:rPr>
      <w:tcPr>
        <w:shd w:val="clear" w:color="FFFFFF" w:themeFill="light1" w:themeColor="light1"/>
        <w:tcBorders>
          <w:left w:val="none"/>
          <w:top w:val="none"/>
          <w:right w:val="none"/>
          <w:bottom w:val="single" w:color="000000" w:sz="4" w:space="0" w:themeColor="accent3" w:themeTint="98"/>
        </w:tcBorders>
      </w:tcPr>
    </w:tblStylePr>
    <w:tblStylePr w:type="lastCol">
      <w:rPr>
        <w:rFonts w:ascii="Arial" w:hAnsi="Arial"/>
        <w:i/>
        <w:color w:val="7C983F" w:themeColor="accent3" w:themeTint="98" w:themeShade="95"/>
        <w:sz w:val="22"/>
      </w:rPr>
      <w:tcPr>
        <w:shd w:color="FFFFFF"/>
        <w:tcBorders>
          <w:left w:val="single" w:color="000000" w:sz="4" w:space="0" w:themeColor="accent3" w:themeTint="98"/>
          <w:top w:val="none"/>
          <w:right w:val="none"/>
          <w:bottom w:val="none"/>
        </w:tcBorders>
      </w:tcPr>
    </w:tblStylePr>
    <w:tblStylePr w:type="lastRow">
      <w:rPr>
        <w:rFonts w:ascii="Arial" w:hAnsi="Arial"/>
        <w:i/>
        <w:color w:val="7C983F" w:themeColor="accent3" w:themeTint="98" w:themeShade="95"/>
        <w:sz w:val="22"/>
      </w:rPr>
      <w:tcPr>
        <w:shd w:val="clear" w:color="FFFFFF" w:themeFill="light1" w:themeColor="light1"/>
        <w:tcBorders>
          <w:left w:val="none"/>
          <w:top w:val="single" w:color="000000" w:sz="4" w:space="0" w:themeColor="accent3" w:themeTint="98"/>
          <w:right w:val="none"/>
          <w:bottom w:val="none"/>
        </w:tcBorders>
      </w:tcPr>
    </w:tblStylePr>
    <w:tblStylePr w:type="wholeTable">
      <w:rPr>
        <w:rFonts w:ascii="Arial" w:hAnsi="Arial"/>
        <w:color w:val="7C983F" w:themeColor="accent3" w:themeTint="98" w:themeShade="95"/>
        <w:sz w:val="22"/>
      </w:rPr>
    </w:tblStylePr>
  </w:style>
  <w:style w:type="table" w:styleId="148">
    <w:name w:val="List Table 7 Colorful - Accent 4"/>
    <w:basedOn w:val="642"/>
    <w:uiPriority w:val="99"/>
    <w:pPr>
      <w:spacing w:lineRule="auto" w:line="240" w:after="0"/>
    </w:pPr>
    <w:tblPr>
      <w:tblStyleRowBandSize w:val="1"/>
      <w:tblStyleColBandSize w:val="1"/>
      <w:tblInd w:w="0" w:type="dxa"/>
      <w:tblBorders>
        <w:right w:val="single" w:color="000000" w:sz="4" w:space="0" w:themeColor="accent4" w:themeTint="9A"/>
      </w:tblBorders>
    </w:tblPr>
    <w:tblStylePr w:type="band1Horz">
      <w:rPr>
        <w:rFonts w:ascii="Arial" w:hAnsi="Arial"/>
        <w:color w:val="664F82" w:themeColor="accent4" w:themeTint="9A" w:themeShade="95"/>
        <w:sz w:val="22"/>
      </w:rPr>
      <w:tcPr>
        <w:shd w:val="clear" w:color="FFFFFF" w:themeFill="accent4" w:themeFillTint="40" w:themeColor="accent4" w:themeTint="40"/>
      </w:tcPr>
    </w:tblStylePr>
    <w:tblStylePr w:type="band1Vert">
      <w:tcPr>
        <w:shd w:val="clear" w:color="FFFFFF" w:themeFill="accent4" w:themeFillTint="40" w:themeColor="accent4" w:theme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left w:val="none"/>
          <w:top w:val="none"/>
          <w:right w:val="single" w:color="000000" w:sz="4" w:space="0" w:themeColor="accent4" w:themeTint="9A"/>
          <w:bottom w:val="none"/>
        </w:tcBorders>
      </w:tcPr>
    </w:tblStylePr>
    <w:tblStylePr w:type="firstRow">
      <w:rPr>
        <w:rFonts w:ascii="Arial" w:hAnsi="Arial"/>
        <w:i/>
        <w:color w:val="664F82" w:themeColor="accent4" w:themeTint="9A" w:themeShade="95"/>
        <w:sz w:val="22"/>
      </w:rPr>
      <w:tcPr>
        <w:shd w:val="clear" w:color="FFFFFF" w:themeFill="light1" w:themeColor="light1"/>
        <w:tcBorders>
          <w:left w:val="none"/>
          <w:top w:val="none"/>
          <w:right w:val="none"/>
          <w:bottom w:val="single" w:color="000000" w:sz="4" w:space="0" w:themeColor="accent4" w:themeTint="9A"/>
        </w:tcBorders>
      </w:tcPr>
    </w:tblStylePr>
    <w:tblStylePr w:type="lastCol">
      <w:rPr>
        <w:rFonts w:ascii="Arial" w:hAnsi="Arial"/>
        <w:i/>
        <w:color w:val="664F82" w:themeColor="accent4" w:themeTint="9A" w:themeShade="95"/>
        <w:sz w:val="22"/>
      </w:rPr>
      <w:tcPr>
        <w:shd w:color="FFFFFF"/>
        <w:tcBorders>
          <w:left w:val="single" w:color="000000" w:sz="4" w:space="0" w:themeColor="accent4" w:themeTint="9A"/>
          <w:top w:val="none"/>
          <w:right w:val="none"/>
          <w:bottom w:val="none"/>
        </w:tcBorders>
      </w:tcPr>
    </w:tblStylePr>
    <w:tblStylePr w:type="lastRow">
      <w:rPr>
        <w:rFonts w:ascii="Arial" w:hAnsi="Arial"/>
        <w:i/>
        <w:color w:val="664F82" w:themeColor="accent4" w:themeTint="9A" w:themeShade="95"/>
        <w:sz w:val="22"/>
      </w:rPr>
      <w:tcPr>
        <w:shd w:val="clear" w:color="FFFFFF" w:themeFill="light1" w:themeColor="light1"/>
        <w:tcBorders>
          <w:left w:val="none"/>
          <w:top w:val="single" w:color="000000" w:sz="4" w:space="0" w:themeColor="accent4" w:themeTint="9A"/>
          <w:right w:val="none"/>
          <w:bottom w:val="none"/>
        </w:tcBorders>
      </w:tcPr>
    </w:tblStylePr>
    <w:tblStylePr w:type="wholeTable">
      <w:rPr>
        <w:rFonts w:ascii="Arial" w:hAnsi="Arial"/>
        <w:color w:val="664F82" w:themeColor="accent4" w:themeTint="9A" w:themeShade="95"/>
        <w:sz w:val="22"/>
      </w:rPr>
    </w:tblStylePr>
  </w:style>
  <w:style w:type="table" w:styleId="149">
    <w:name w:val="List Table 7 Colorful - Accent 5"/>
    <w:basedOn w:val="642"/>
    <w:uiPriority w:val="99"/>
    <w:pPr>
      <w:spacing w:lineRule="auto" w:line="240" w:after="0"/>
    </w:pPr>
    <w:tblPr>
      <w:tblStyleRowBandSize w:val="1"/>
      <w:tblStyleColBandSize w:val="1"/>
      <w:tblInd w:w="0" w:type="dxa"/>
      <w:tblBorders>
        <w:right w:val="single" w:color="000000" w:sz="4" w:space="0" w:themeColor="accent5" w:themeTint="9A"/>
      </w:tblBorders>
    </w:tblPr>
    <w:tblStylePr w:type="band1Horz">
      <w:rPr>
        <w:rFonts w:ascii="Arial" w:hAnsi="Arial"/>
        <w:color w:val="338AA0" w:themeColor="accent5" w:themeTint="9A" w:themeShade="95"/>
        <w:sz w:val="22"/>
      </w:rPr>
      <w:tcPr>
        <w:shd w:val="clear" w:color="FFFFFF" w:themeFill="accent5" w:themeFillTint="40" w:themeColor="accent5" w:themeTint="40"/>
      </w:tcPr>
    </w:tblStylePr>
    <w:tblStylePr w:type="band1Vert">
      <w:tcPr>
        <w:shd w:val="clear" w:color="FFFFFF" w:themeFill="accent5" w:themeFillTint="40" w:themeColor="accent5" w:theme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left w:val="none"/>
          <w:top w:val="none"/>
          <w:right w:val="single" w:color="000000" w:sz="4" w:space="0" w:themeColor="accent5" w:themeTint="9A"/>
          <w:bottom w:val="none"/>
        </w:tcBorders>
      </w:tcPr>
    </w:tblStylePr>
    <w:tblStylePr w:type="firstRow">
      <w:rPr>
        <w:rFonts w:ascii="Arial" w:hAnsi="Arial"/>
        <w:i/>
        <w:color w:val="338AA0" w:themeColor="accent5" w:themeTint="9A" w:themeShade="95"/>
        <w:sz w:val="22"/>
      </w:rPr>
      <w:tcPr>
        <w:shd w:val="clear" w:color="FFFFFF" w:themeFill="light1" w:themeColor="light1"/>
        <w:tcBorders>
          <w:left w:val="none"/>
          <w:top w:val="none"/>
          <w:right w:val="none"/>
          <w:bottom w:val="single" w:color="000000" w:sz="4" w:space="0" w:themeColor="accent5" w:themeTint="9A"/>
        </w:tcBorders>
      </w:tcPr>
    </w:tblStylePr>
    <w:tblStylePr w:type="lastCol">
      <w:rPr>
        <w:rFonts w:ascii="Arial" w:hAnsi="Arial"/>
        <w:i/>
        <w:color w:val="338AA0" w:themeColor="accent5" w:themeTint="9A" w:themeShade="95"/>
        <w:sz w:val="22"/>
      </w:rPr>
      <w:tcPr>
        <w:shd w:color="FFFFFF"/>
        <w:tcBorders>
          <w:left w:val="single" w:color="000000" w:sz="4" w:space="0" w:themeColor="accent5" w:themeTint="9A"/>
          <w:top w:val="none"/>
          <w:right w:val="none"/>
          <w:bottom w:val="none"/>
        </w:tcBorders>
      </w:tcPr>
    </w:tblStylePr>
    <w:tblStylePr w:type="lastRow">
      <w:rPr>
        <w:rFonts w:ascii="Arial" w:hAnsi="Arial"/>
        <w:i/>
        <w:color w:val="338AA0" w:themeColor="accent5" w:themeTint="9A" w:themeShade="95"/>
        <w:sz w:val="22"/>
      </w:rPr>
      <w:tcPr>
        <w:shd w:val="clear" w:color="FFFFFF" w:themeFill="light1" w:themeColor="light1"/>
        <w:tcBorders>
          <w:left w:val="none"/>
          <w:top w:val="single" w:color="000000" w:sz="4" w:space="0" w:themeColor="accent5" w:themeTint="9A"/>
          <w:right w:val="none"/>
          <w:bottom w:val="none"/>
        </w:tcBorders>
      </w:tcPr>
    </w:tblStylePr>
    <w:tblStylePr w:type="wholeTable">
      <w:rPr>
        <w:rFonts w:ascii="Arial" w:hAnsi="Arial"/>
        <w:color w:val="338AA0" w:themeColor="accent5" w:themeTint="9A" w:themeShade="95"/>
        <w:sz w:val="22"/>
      </w:rPr>
    </w:tblStylePr>
  </w:style>
  <w:style w:type="table" w:styleId="150">
    <w:name w:val="List Table 7 Colorful - Accent 6"/>
    <w:basedOn w:val="642"/>
    <w:uiPriority w:val="99"/>
    <w:pPr>
      <w:spacing w:lineRule="auto" w:line="240" w:after="0"/>
    </w:pPr>
    <w:tblPr>
      <w:tblStyleRowBandSize w:val="1"/>
      <w:tblStyleColBandSize w:val="1"/>
      <w:tblInd w:w="0" w:type="dxa"/>
      <w:tblBorders>
        <w:right w:val="single" w:color="000000" w:sz="4" w:space="0" w:themeColor="accent6" w:themeTint="98"/>
      </w:tblBorders>
    </w:tblPr>
    <w:tblStylePr w:type="band1Horz">
      <w:rPr>
        <w:rFonts w:ascii="Arial" w:hAnsi="Arial"/>
        <w:color w:val="D9680C" w:themeColor="accent6" w:themeTint="98" w:themeShade="95"/>
        <w:sz w:val="22"/>
      </w:rPr>
      <w:tcPr>
        <w:shd w:val="clear" w:color="FFFFFF" w:themeFill="accent6" w:themeFillTint="40" w:themeColor="accent6" w:themeTint="40"/>
      </w:tcPr>
    </w:tblStylePr>
    <w:tblStylePr w:type="band1Vert">
      <w:tcPr>
        <w:shd w:val="clear" w:color="FFFFFF" w:themeFill="accent6" w:themeFillTint="40" w:themeColor="accent6" w:theme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left w:val="none"/>
          <w:top w:val="none"/>
          <w:right w:val="single" w:color="000000" w:sz="4" w:space="0" w:themeColor="accent6" w:themeTint="98"/>
          <w:bottom w:val="none"/>
        </w:tcBorders>
      </w:tcPr>
    </w:tblStylePr>
    <w:tblStylePr w:type="firstRow">
      <w:rPr>
        <w:rFonts w:ascii="Arial" w:hAnsi="Arial"/>
        <w:i/>
        <w:color w:val="D9680C" w:themeColor="accent6" w:themeTint="98" w:themeShade="95"/>
        <w:sz w:val="22"/>
      </w:rPr>
      <w:tcPr>
        <w:shd w:val="clear" w:color="FFFFFF" w:themeFill="light1" w:themeColor="light1"/>
        <w:tcBorders>
          <w:left w:val="none"/>
          <w:top w:val="none"/>
          <w:right w:val="none"/>
          <w:bottom w:val="single" w:color="000000" w:sz="4" w:space="0" w:themeColor="accent6" w:themeTint="98"/>
        </w:tcBorders>
      </w:tcPr>
    </w:tblStylePr>
    <w:tblStylePr w:type="lastCol">
      <w:rPr>
        <w:rFonts w:ascii="Arial" w:hAnsi="Arial"/>
        <w:i/>
        <w:color w:val="D9680C" w:themeColor="accent6" w:themeTint="98" w:themeShade="95"/>
        <w:sz w:val="22"/>
      </w:rPr>
      <w:tcPr>
        <w:shd w:color="FFFFFF"/>
        <w:tcBorders>
          <w:left w:val="single" w:color="000000" w:sz="4" w:space="0" w:themeColor="accent6" w:themeTint="98"/>
          <w:top w:val="none"/>
          <w:right w:val="none"/>
          <w:bottom w:val="none"/>
        </w:tcBorders>
      </w:tcPr>
    </w:tblStylePr>
    <w:tblStylePr w:type="lastRow">
      <w:rPr>
        <w:rFonts w:ascii="Arial" w:hAnsi="Arial"/>
        <w:i/>
        <w:color w:val="D9680C" w:themeColor="accent6" w:themeTint="98" w:themeShade="95"/>
        <w:sz w:val="22"/>
      </w:rPr>
      <w:tcPr>
        <w:shd w:val="clear" w:color="FFFFFF" w:themeFill="light1" w:themeColor="light1"/>
        <w:tcBorders>
          <w:left w:val="none"/>
          <w:top w:val="single" w:color="000000" w:sz="4" w:space="0" w:themeColor="accent6" w:themeTint="98"/>
          <w:right w:val="none"/>
          <w:bottom w:val="none"/>
        </w:tcBorders>
      </w:tcPr>
    </w:tblStylePr>
    <w:tblStylePr w:type="wholeTable">
      <w:rPr>
        <w:rFonts w:ascii="Arial" w:hAnsi="Arial"/>
        <w:color w:val="D9680C" w:themeColor="accent6" w:themeTint="98" w:themeShade="95"/>
        <w:sz w:val="22"/>
      </w:rPr>
    </w:tblStylePr>
  </w:style>
  <w:style w:type="table" w:styleId="151">
    <w:name w:val="Lined - Accent"/>
    <w:basedOn w:val="642"/>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text1" w:themeFillTint="0D" w:themeColor="text1" w:themeTint="0D"/>
      </w:tcPr>
    </w:tblStylePr>
    <w:tblStylePr w:type="band2Vert">
      <w:rPr>
        <w:rFonts w:ascii="Arial" w:hAnsi="Arial"/>
        <w:color w:val="404040"/>
        <w:sz w:val="22"/>
      </w:rPr>
      <w:tcPr>
        <w:shd w:val="clear" w:color="FFFFFF" w:themeFill="text1" w:themeFillTint="0D" w:themeColor="text1" w:themeTint="0D"/>
      </w:tcPr>
    </w:tblStylePr>
    <w:tblStylePr w:type="firstCol">
      <w:rPr>
        <w:rFonts w:ascii="Arial" w:hAnsi="Arial"/>
        <w:color w:val="F2F2F2"/>
        <w:sz w:val="22"/>
      </w:rPr>
      <w:tcPr>
        <w:shd w:val="clear" w:color="FFFFFF" w:themeFill="text1" w:themeFillTint="80" w:themeColor="text1" w:themeTint="80"/>
      </w:tcPr>
    </w:tblStylePr>
    <w:tblStylePr w:type="firstRow">
      <w:rPr>
        <w:rFonts w:ascii="Arial" w:hAnsi="Arial"/>
        <w:color w:val="F2F2F2"/>
        <w:sz w:val="22"/>
      </w:rPr>
      <w:tcPr>
        <w:shd w:val="clear" w:color="FFFFFF" w:themeFill="text1" w:themeFillTint="80" w:themeColor="text1" w:themeTint="80"/>
      </w:tcPr>
    </w:tblStylePr>
    <w:tblStylePr w:type="lastCol">
      <w:rPr>
        <w:rFonts w:ascii="Arial" w:hAnsi="Arial"/>
        <w:color w:val="F2F2F2"/>
        <w:sz w:val="22"/>
      </w:rPr>
      <w:tcPr>
        <w:shd w:val="clear" w:color="FFFFFF" w:themeFill="text1" w:themeFillTint="80" w:themeColor="text1" w:themeTint="80"/>
      </w:tcPr>
    </w:tblStylePr>
    <w:tblStylePr w:type="lastRow">
      <w:rPr>
        <w:rFonts w:ascii="Arial" w:hAnsi="Arial"/>
        <w:color w:val="F2F2F2"/>
        <w:sz w:val="22"/>
      </w:rPr>
      <w:tcPr>
        <w:shd w:val="clear" w:color="FFFFFF" w:themeFill="text1" w:themeFillTint="80" w:themeColor="text1" w:themeTint="80"/>
      </w:tcPr>
    </w:tblStylePr>
  </w:style>
  <w:style w:type="table" w:styleId="152">
    <w:name w:val="Lined - Accent 1"/>
    <w:basedOn w:val="642"/>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1" w:themeFillTint="50" w:themeColor="accent1" w:themeTint="50"/>
      </w:tcPr>
    </w:tblStylePr>
    <w:tblStylePr w:type="band2Vert">
      <w:rPr>
        <w:rFonts w:ascii="Arial" w:hAnsi="Arial"/>
        <w:color w:val="404040"/>
        <w:sz w:val="22"/>
      </w:rPr>
      <w:tcPr>
        <w:shd w:val="clear" w:color="FFFFFF" w:themeFill="accent1" w:themeFillTint="50" w:themeColor="accent1" w:themeTint="50"/>
      </w:tcPr>
    </w:tblStylePr>
    <w:tblStylePr w:type="firstCol">
      <w:rPr>
        <w:rFonts w:ascii="Arial" w:hAnsi="Arial"/>
        <w:color w:val="F2F2F2"/>
        <w:sz w:val="22"/>
      </w:rPr>
      <w:tcPr>
        <w:shd w:val="clear" w:color="FFFFFF" w:themeFill="accent1" w:themeFillTint="EA" w:themeColor="accent1" w:themeTint="EA"/>
      </w:tcPr>
    </w:tblStylePr>
    <w:tblStylePr w:type="firstRow">
      <w:rPr>
        <w:rFonts w:ascii="Arial" w:hAnsi="Arial"/>
        <w:color w:val="F2F2F2"/>
        <w:sz w:val="22"/>
      </w:rPr>
      <w:tcPr>
        <w:shd w:val="clear" w:color="FFFFFF" w:themeFill="accent1" w:themeFillTint="EA" w:themeColor="accent1" w:themeTint="EA"/>
      </w:tcPr>
    </w:tblStylePr>
    <w:tblStylePr w:type="lastCol">
      <w:rPr>
        <w:rFonts w:ascii="Arial" w:hAnsi="Arial"/>
        <w:color w:val="F2F2F2"/>
        <w:sz w:val="22"/>
      </w:rPr>
      <w:tcPr>
        <w:shd w:val="clear" w:color="FFFFFF" w:themeFill="accent1" w:themeFillTint="EA" w:themeColor="accent1" w:themeTint="EA"/>
      </w:tcPr>
    </w:tblStylePr>
    <w:tblStylePr w:type="lastRow">
      <w:rPr>
        <w:rFonts w:ascii="Arial" w:hAnsi="Arial"/>
        <w:color w:val="F2F2F2"/>
        <w:sz w:val="22"/>
      </w:rPr>
      <w:tcPr>
        <w:shd w:val="clear" w:color="FFFFFF" w:themeFill="accent1" w:themeFillTint="EA" w:themeColor="accent1" w:themeTint="EA"/>
      </w:tcPr>
    </w:tblStylePr>
  </w:style>
  <w:style w:type="table" w:styleId="153">
    <w:name w:val="Lined - Accent 2"/>
    <w:basedOn w:val="642"/>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2" w:themeFillTint="32" w:themeColor="accent2" w:themeTint="32"/>
      </w:tcPr>
    </w:tblStylePr>
    <w:tblStylePr w:type="band2Vert">
      <w:rPr>
        <w:rFonts w:ascii="Arial" w:hAnsi="Arial"/>
        <w:color w:val="404040"/>
        <w:sz w:val="22"/>
      </w:rPr>
      <w:tcPr>
        <w:shd w:val="clear" w:color="FFFFFF" w:themeFill="accent2" w:themeFillTint="32" w:themeColor="accent2" w:themeTint="32"/>
      </w:tcPr>
    </w:tblStylePr>
    <w:tblStylePr w:type="firstCol">
      <w:rPr>
        <w:rFonts w:ascii="Arial" w:hAnsi="Arial"/>
        <w:color w:val="F2F2F2"/>
        <w:sz w:val="22"/>
      </w:rPr>
      <w:tcPr>
        <w:shd w:val="clear" w:color="FFFFFF" w:themeFill="accent2" w:themeFillTint="97" w:themeColor="accent2" w:themeTint="97"/>
      </w:tcPr>
    </w:tblStylePr>
    <w:tblStylePr w:type="firstRow">
      <w:rPr>
        <w:rFonts w:ascii="Arial" w:hAnsi="Arial"/>
        <w:color w:val="F2F2F2"/>
        <w:sz w:val="22"/>
      </w:rPr>
      <w:tcPr>
        <w:shd w:val="clear" w:color="FFFFFF" w:themeFill="accent2" w:themeFillTint="97" w:themeColor="accent2" w:themeTint="97"/>
      </w:tcPr>
    </w:tblStylePr>
    <w:tblStylePr w:type="lastCol">
      <w:rPr>
        <w:rFonts w:ascii="Arial" w:hAnsi="Arial"/>
        <w:color w:val="F2F2F2"/>
        <w:sz w:val="22"/>
      </w:rPr>
      <w:tcPr>
        <w:shd w:val="clear" w:color="FFFFFF" w:themeFill="accent2" w:themeFillTint="97" w:themeColor="accent2" w:themeTint="97"/>
      </w:tcPr>
    </w:tblStylePr>
    <w:tblStylePr w:type="lastRow">
      <w:rPr>
        <w:rFonts w:ascii="Arial" w:hAnsi="Arial"/>
        <w:color w:val="F2F2F2"/>
        <w:sz w:val="22"/>
      </w:rPr>
      <w:tcPr>
        <w:shd w:val="clear" w:color="FFFFFF" w:themeFill="accent2" w:themeFillTint="97" w:themeColor="accent2" w:themeTint="97"/>
      </w:tcPr>
    </w:tblStylePr>
  </w:style>
  <w:style w:type="table" w:styleId="154">
    <w:name w:val="Lined - Accent 3"/>
    <w:basedOn w:val="642"/>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3" w:themeFillTint="34" w:themeColor="accent3" w:themeTint="34"/>
      </w:tcPr>
    </w:tblStylePr>
    <w:tblStylePr w:type="band2Vert">
      <w:rPr>
        <w:rFonts w:ascii="Arial" w:hAnsi="Arial"/>
        <w:color w:val="404040"/>
        <w:sz w:val="22"/>
      </w:rPr>
      <w:tcPr>
        <w:shd w:val="clear" w:color="FFFFFF" w:themeFill="accent3" w:themeFillTint="34" w:themeColor="accent3" w:themeTint="34"/>
      </w:tcPr>
    </w:tblStylePr>
    <w:tblStylePr w:type="firstCol">
      <w:rPr>
        <w:rFonts w:ascii="Arial" w:hAnsi="Arial"/>
        <w:color w:val="F2F2F2"/>
        <w:sz w:val="22"/>
      </w:rPr>
      <w:tcPr>
        <w:shd w:val="clear" w:color="FFFFFF" w:themeFill="accent3" w:themeFillTint="FE" w:themeColor="accent3" w:themeTint="FE"/>
      </w:tcPr>
    </w:tblStylePr>
    <w:tblStylePr w:type="firstRow">
      <w:rPr>
        <w:rFonts w:ascii="Arial" w:hAnsi="Arial"/>
        <w:color w:val="F2F2F2"/>
        <w:sz w:val="22"/>
      </w:rPr>
      <w:tcPr>
        <w:shd w:val="clear" w:color="FFFFFF" w:themeFill="accent3" w:themeFillTint="FE" w:themeColor="accent3" w:themeTint="FE"/>
      </w:tcPr>
    </w:tblStylePr>
    <w:tblStylePr w:type="lastCol">
      <w:rPr>
        <w:rFonts w:ascii="Arial" w:hAnsi="Arial"/>
        <w:color w:val="F2F2F2"/>
        <w:sz w:val="22"/>
      </w:rPr>
      <w:tcPr>
        <w:shd w:val="clear" w:color="FFFFFF" w:themeFill="accent3" w:themeFillTint="FE" w:themeColor="accent3" w:themeTint="FE"/>
      </w:tcPr>
    </w:tblStylePr>
    <w:tblStylePr w:type="lastRow">
      <w:rPr>
        <w:rFonts w:ascii="Arial" w:hAnsi="Arial"/>
        <w:color w:val="F2F2F2"/>
        <w:sz w:val="22"/>
      </w:rPr>
      <w:tcPr>
        <w:shd w:val="clear" w:color="FFFFFF" w:themeFill="accent3" w:themeFillTint="FE" w:themeColor="accent3" w:themeTint="FE"/>
      </w:tcPr>
    </w:tblStylePr>
  </w:style>
  <w:style w:type="table" w:styleId="155">
    <w:name w:val="Lined - Accent 4"/>
    <w:basedOn w:val="642"/>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4" w:themeFillTint="34" w:themeColor="accent4" w:themeTint="34"/>
      </w:tcPr>
    </w:tblStylePr>
    <w:tblStylePr w:type="band2Vert">
      <w:rPr>
        <w:rFonts w:ascii="Arial" w:hAnsi="Arial"/>
        <w:color w:val="404040"/>
        <w:sz w:val="22"/>
      </w:rPr>
      <w:tcPr>
        <w:shd w:val="clear" w:color="FFFFFF" w:themeFill="accent4" w:themeFillTint="34" w:themeColor="accent4" w:themeTint="34"/>
      </w:tcPr>
    </w:tblStylePr>
    <w:tblStylePr w:type="firstCol">
      <w:rPr>
        <w:rFonts w:ascii="Arial" w:hAnsi="Arial"/>
        <w:color w:val="F2F2F2"/>
        <w:sz w:val="22"/>
      </w:rPr>
      <w:tcPr>
        <w:shd w:val="clear" w:color="FFFFFF" w:themeFill="accent4" w:themeFillTint="9A" w:themeColor="accent4" w:themeTint="9A"/>
      </w:tcPr>
    </w:tblStylePr>
    <w:tblStylePr w:type="firstRow">
      <w:rPr>
        <w:rFonts w:ascii="Arial" w:hAnsi="Arial"/>
        <w:color w:val="F2F2F2"/>
        <w:sz w:val="22"/>
      </w:rPr>
      <w:tcPr>
        <w:shd w:val="clear" w:color="FFFFFF" w:themeFill="accent4" w:themeFillTint="9A" w:themeColor="accent4" w:themeTint="9A"/>
      </w:tcPr>
    </w:tblStylePr>
    <w:tblStylePr w:type="lastCol">
      <w:rPr>
        <w:rFonts w:ascii="Arial" w:hAnsi="Arial"/>
        <w:color w:val="F2F2F2"/>
        <w:sz w:val="22"/>
      </w:rPr>
      <w:tcPr>
        <w:shd w:val="clear" w:color="FFFFFF" w:themeFill="accent4" w:themeFillTint="9A" w:themeColor="accent4" w:themeTint="9A"/>
      </w:tcPr>
    </w:tblStylePr>
    <w:tblStylePr w:type="lastRow">
      <w:rPr>
        <w:rFonts w:ascii="Arial" w:hAnsi="Arial"/>
        <w:color w:val="F2F2F2"/>
        <w:sz w:val="22"/>
      </w:rPr>
      <w:tcPr>
        <w:shd w:val="clear" w:color="FFFFFF" w:themeFill="accent4" w:themeFillTint="9A" w:themeColor="accent4" w:themeTint="9A"/>
      </w:tcPr>
    </w:tblStylePr>
  </w:style>
  <w:style w:type="table" w:styleId="156">
    <w:name w:val="Lined - Accent 5"/>
    <w:basedOn w:val="642"/>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5" w:themeFillTint="34" w:themeColor="accent5" w:themeTint="34"/>
      </w:tcPr>
    </w:tblStylePr>
    <w:tblStylePr w:type="band2Vert">
      <w:rPr>
        <w:rFonts w:ascii="Arial" w:hAnsi="Arial"/>
        <w:color w:val="404040"/>
        <w:sz w:val="22"/>
      </w:rPr>
      <w:tcPr>
        <w:shd w:val="clear" w:color="FFFFFF" w:themeFill="accent5" w:themeFillTint="34" w:themeColor="accent5" w:themeTint="34"/>
      </w:tcPr>
    </w:tblStylePr>
    <w:tblStylePr w:type="firstCol">
      <w:rPr>
        <w:rFonts w:ascii="Arial" w:hAnsi="Arial"/>
        <w:color w:val="F2F2F2"/>
        <w:sz w:val="22"/>
      </w:rPr>
      <w:tcPr>
        <w:shd w:val="clear" w:color="FFFFFF" w:themeFill="accent5" w:themeColor="accent5"/>
      </w:tcPr>
    </w:tblStylePr>
    <w:tblStylePr w:type="firstRow">
      <w:rPr>
        <w:rFonts w:ascii="Arial" w:hAnsi="Arial"/>
        <w:color w:val="F2F2F2"/>
        <w:sz w:val="22"/>
      </w:rPr>
      <w:tcPr>
        <w:shd w:val="clear" w:color="FFFFFF" w:themeFill="accent5" w:themeColor="accent5"/>
      </w:tcPr>
    </w:tblStylePr>
    <w:tblStylePr w:type="lastCol">
      <w:rPr>
        <w:rFonts w:ascii="Arial" w:hAnsi="Arial"/>
        <w:color w:val="F2F2F2"/>
        <w:sz w:val="22"/>
      </w:rPr>
      <w:tcPr>
        <w:shd w:val="clear" w:color="FFFFFF" w:themeFill="accent5" w:themeColor="accent5"/>
      </w:tcPr>
    </w:tblStylePr>
    <w:tblStylePr w:type="lastRow">
      <w:rPr>
        <w:rFonts w:ascii="Arial" w:hAnsi="Arial"/>
        <w:color w:val="F2F2F2"/>
        <w:sz w:val="22"/>
      </w:rPr>
      <w:tcPr>
        <w:shd w:val="clear" w:color="FFFFFF" w:themeFill="accent5" w:themeColor="accent5"/>
      </w:tcPr>
    </w:tblStylePr>
  </w:style>
  <w:style w:type="table" w:styleId="157">
    <w:name w:val="Lined - Accent 6"/>
    <w:basedOn w:val="642"/>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6" w:themeFillTint="34" w:themeColor="accent6" w:themeTint="34"/>
      </w:tcPr>
    </w:tblStylePr>
    <w:tblStylePr w:type="band2Vert">
      <w:rPr>
        <w:rFonts w:ascii="Arial" w:hAnsi="Arial"/>
        <w:color w:val="404040"/>
        <w:sz w:val="22"/>
      </w:rPr>
      <w:tcPr>
        <w:shd w:val="clear" w:color="FFFFFF" w:themeFill="accent6" w:themeFillTint="34" w:themeColor="accent6" w:themeTint="34"/>
      </w:tcPr>
    </w:tblStylePr>
    <w:tblStylePr w:type="firstCol">
      <w:rPr>
        <w:rFonts w:ascii="Arial" w:hAnsi="Arial"/>
        <w:color w:val="F2F2F2"/>
        <w:sz w:val="22"/>
      </w:rPr>
      <w:tcPr>
        <w:shd w:val="clear" w:color="FFFFFF" w:themeFill="accent6" w:themeColor="accent6"/>
      </w:tcPr>
    </w:tblStylePr>
    <w:tblStylePr w:type="firstRow">
      <w:rPr>
        <w:rFonts w:ascii="Arial" w:hAnsi="Arial"/>
        <w:color w:val="F2F2F2"/>
        <w:sz w:val="22"/>
      </w:rPr>
      <w:tcPr>
        <w:shd w:val="clear" w:color="FFFFFF" w:themeFill="accent6" w:themeColor="accent6"/>
      </w:tcPr>
    </w:tblStylePr>
    <w:tblStylePr w:type="lastCol">
      <w:rPr>
        <w:rFonts w:ascii="Arial" w:hAnsi="Arial"/>
        <w:color w:val="F2F2F2"/>
        <w:sz w:val="22"/>
      </w:rPr>
      <w:tcPr>
        <w:shd w:val="clear" w:color="FFFFFF" w:themeFill="accent6" w:themeColor="accent6"/>
      </w:tcPr>
    </w:tblStylePr>
    <w:tblStylePr w:type="lastRow">
      <w:rPr>
        <w:rFonts w:ascii="Arial" w:hAnsi="Arial"/>
        <w:color w:val="F2F2F2"/>
        <w:sz w:val="22"/>
      </w:rPr>
      <w:tcPr>
        <w:shd w:val="clear" w:color="FFFFFF" w:themeFill="accent6" w:themeColor="accent6"/>
      </w:tcPr>
    </w:tblStylePr>
  </w:style>
  <w:style w:type="table" w:styleId="158">
    <w:name w:val="Bordered &amp; Lined - Accent"/>
    <w:basedOn w:val="642"/>
    <w:uiPriority w:val="99"/>
    <w:rPr>
      <w:color w:val="404040"/>
    </w:rPr>
    <w:pPr>
      <w:spacing w:lineRule="auto" w:line="240" w:after="0"/>
    </w:pPr>
    <w:tblPr>
      <w:tblStyleRowBandSize w:val="1"/>
      <w:tblStyleColBandSize w:val="1"/>
      <w:tblInd w:w="0" w:type="dxa"/>
      <w:tblBorders>
        <w:left w:val="single" w:color="000000" w:sz="4" w:space="0" w:themeColor="text1" w:themeTint="A6"/>
        <w:top w:val="single" w:color="000000" w:sz="4" w:space="0" w:themeColor="text1" w:themeTint="A6"/>
        <w:right w:val="single" w:color="000000" w:sz="4" w:space="0" w:themeColor="text1" w:themeTint="A6"/>
        <w:bottom w:val="single" w:color="000000" w:sz="4" w:space="0" w:themeColor="text1" w:themeTint="A6"/>
        <w:insideV w:val="single" w:color="000000" w:sz="4" w:space="0" w:themeColor="text1" w:themeTint="A6"/>
        <w:insideH w:val="single" w:color="000000" w:sz="4" w:space="0" w:themeColor="text1" w:themeTint="A6"/>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text1" w:themeFillTint="0D" w:themeColor="text1" w:themeTint="0D"/>
      </w:tcPr>
    </w:tblStylePr>
    <w:tblStylePr w:type="band2Vert">
      <w:rPr>
        <w:rFonts w:ascii="Arial" w:hAnsi="Arial"/>
        <w:color w:val="404040"/>
        <w:sz w:val="22"/>
      </w:rPr>
      <w:tcPr>
        <w:shd w:val="clear" w:color="FFFFFF" w:themeFill="text1" w:themeFillTint="0D" w:themeColor="text1" w:themeTint="0D"/>
      </w:tcPr>
    </w:tblStylePr>
    <w:tblStylePr w:type="firstCol">
      <w:rPr>
        <w:rFonts w:ascii="Arial" w:hAnsi="Arial"/>
        <w:color w:val="F2F2F2"/>
        <w:sz w:val="22"/>
      </w:rPr>
      <w:tcPr>
        <w:shd w:val="clear" w:color="FFFFFF" w:themeFill="text1" w:themeFillTint="80" w:themeColor="text1" w:themeTint="80"/>
      </w:tcPr>
    </w:tblStylePr>
    <w:tblStylePr w:type="firstRow">
      <w:rPr>
        <w:rFonts w:ascii="Arial" w:hAnsi="Arial"/>
        <w:color w:val="F2F2F2"/>
        <w:sz w:val="22"/>
      </w:rPr>
      <w:tcPr>
        <w:shd w:val="clear" w:color="FFFFFF" w:themeFill="text1" w:themeFillTint="80" w:themeColor="text1" w:themeTint="80"/>
      </w:tcPr>
    </w:tblStylePr>
    <w:tblStylePr w:type="lastCol">
      <w:rPr>
        <w:rFonts w:ascii="Arial" w:hAnsi="Arial"/>
        <w:color w:val="F2F2F2"/>
        <w:sz w:val="22"/>
      </w:rPr>
      <w:tcPr>
        <w:shd w:val="clear" w:color="FFFFFF" w:themeFill="text1" w:themeFillTint="80" w:themeColor="text1" w:themeTint="80"/>
      </w:tcPr>
    </w:tblStylePr>
    <w:tblStylePr w:type="lastRow">
      <w:rPr>
        <w:rFonts w:ascii="Arial" w:hAnsi="Arial"/>
        <w:color w:val="F2F2F2"/>
        <w:sz w:val="22"/>
      </w:rPr>
      <w:tcPr>
        <w:shd w:val="clear" w:color="FFFFFF" w:themeFill="text1" w:themeFillTint="80" w:themeColor="text1" w:themeTint="80"/>
      </w:tcPr>
    </w:tblStylePr>
  </w:style>
  <w:style w:type="table" w:styleId="159">
    <w:name w:val="Bordered &amp; Lined - Accent 1"/>
    <w:basedOn w:val="642"/>
    <w:uiPriority w:val="99"/>
    <w:rPr>
      <w:color w:val="404040"/>
    </w:rPr>
    <w:pPr>
      <w:spacing w:lineRule="auto" w:line="240" w:after="0"/>
    </w:pPr>
    <w:tblPr>
      <w:tblStyleRowBandSize w:val="1"/>
      <w:tblStyleColBandSize w:val="1"/>
      <w:tblInd w:w="0" w:type="dxa"/>
      <w:tblBorders>
        <w:left w:val="single" w:color="000000" w:sz="4" w:space="0" w:themeColor="accent1" w:themeShade="95"/>
        <w:top w:val="single" w:color="000000" w:sz="4" w:space="0" w:themeColor="accent1" w:themeShade="95"/>
        <w:right w:val="single" w:color="000000" w:sz="4" w:space="0" w:themeColor="accent1" w:themeShade="95"/>
        <w:bottom w:val="single" w:color="000000" w:sz="4" w:space="0" w:themeColor="accent1" w:themeShade="95"/>
        <w:insideV w:val="single" w:color="000000" w:sz="4" w:space="0" w:themeColor="accent1" w:themeShade="95"/>
        <w:insideH w:val="single" w:color="000000" w:sz="4" w:space="0" w:themeColor="accent1"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1" w:themeFillTint="50" w:themeColor="accent1" w:themeTint="50"/>
      </w:tcPr>
    </w:tblStylePr>
    <w:tblStylePr w:type="band2Vert">
      <w:rPr>
        <w:rFonts w:ascii="Arial" w:hAnsi="Arial"/>
        <w:color w:val="404040"/>
        <w:sz w:val="22"/>
      </w:rPr>
      <w:tcPr>
        <w:shd w:val="clear" w:color="FFFFFF" w:themeFill="accent1" w:themeFillTint="50" w:themeColor="accent1" w:themeTint="50"/>
      </w:tcPr>
    </w:tblStylePr>
    <w:tblStylePr w:type="firstCol">
      <w:rPr>
        <w:rFonts w:ascii="Arial" w:hAnsi="Arial"/>
        <w:color w:val="F2F2F2"/>
        <w:sz w:val="22"/>
      </w:rPr>
      <w:tcPr>
        <w:shd w:val="clear" w:color="FFFFFF" w:themeFill="accent1" w:themeFillTint="EA" w:themeColor="accent1" w:themeTint="EA"/>
      </w:tcPr>
    </w:tblStylePr>
    <w:tblStylePr w:type="firstRow">
      <w:rPr>
        <w:rFonts w:ascii="Arial" w:hAnsi="Arial"/>
        <w:color w:val="F2F2F2"/>
        <w:sz w:val="22"/>
      </w:rPr>
      <w:tcPr>
        <w:shd w:val="clear" w:color="FFFFFF" w:themeFill="accent1" w:themeFillTint="EA" w:themeColor="accent1" w:themeTint="EA"/>
      </w:tcPr>
    </w:tblStylePr>
    <w:tblStylePr w:type="lastCol">
      <w:rPr>
        <w:rFonts w:ascii="Arial" w:hAnsi="Arial"/>
        <w:color w:val="F2F2F2"/>
        <w:sz w:val="22"/>
      </w:rPr>
      <w:tcPr>
        <w:shd w:val="clear" w:color="FFFFFF" w:themeFill="accent1" w:themeFillTint="EA" w:themeColor="accent1" w:themeTint="EA"/>
      </w:tcPr>
    </w:tblStylePr>
    <w:tblStylePr w:type="lastRow">
      <w:rPr>
        <w:rFonts w:ascii="Arial" w:hAnsi="Arial"/>
        <w:color w:val="F2F2F2"/>
        <w:sz w:val="22"/>
      </w:rPr>
      <w:tcPr>
        <w:shd w:val="clear" w:color="FFFFFF" w:themeFill="accent1" w:themeFillTint="EA" w:themeColor="accent1" w:themeTint="EA"/>
      </w:tcPr>
    </w:tblStylePr>
  </w:style>
  <w:style w:type="table" w:styleId="160">
    <w:name w:val="Bordered &amp; Lined - Accent 2"/>
    <w:basedOn w:val="642"/>
    <w:uiPriority w:val="99"/>
    <w:rPr>
      <w:color w:val="404040"/>
    </w:rPr>
    <w:pPr>
      <w:spacing w:lineRule="auto" w:line="240" w:after="0"/>
    </w:pPr>
    <w:tblPr>
      <w:tblStyleRowBandSize w:val="1"/>
      <w:tblStyleColBandSize w:val="1"/>
      <w:tblInd w:w="0" w:type="dxa"/>
      <w:tblBorders>
        <w:left w:val="single" w:color="000000" w:sz="4" w:space="0" w:themeColor="accent2" w:themeShade="95"/>
        <w:top w:val="single" w:color="000000" w:sz="4" w:space="0" w:themeColor="accent2" w:themeShade="95"/>
        <w:right w:val="single" w:color="000000" w:sz="4" w:space="0" w:themeColor="accent2" w:themeShade="95"/>
        <w:bottom w:val="single" w:color="000000" w:sz="4" w:space="0" w:themeColor="accent2" w:themeShade="95"/>
        <w:insideV w:val="single" w:color="000000" w:sz="4" w:space="0" w:themeColor="accent2" w:themeShade="95"/>
        <w:insideH w:val="single" w:color="000000" w:sz="4" w:space="0" w:themeColor="accent2"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2" w:themeFillTint="32" w:themeColor="accent2" w:themeTint="32"/>
      </w:tcPr>
    </w:tblStylePr>
    <w:tblStylePr w:type="band2Vert">
      <w:rPr>
        <w:rFonts w:ascii="Arial" w:hAnsi="Arial"/>
        <w:color w:val="404040"/>
        <w:sz w:val="22"/>
      </w:rPr>
      <w:tcPr>
        <w:shd w:val="clear" w:color="FFFFFF" w:themeFill="accent2" w:themeFillTint="32" w:themeColor="accent2" w:themeTint="32"/>
      </w:tcPr>
    </w:tblStylePr>
    <w:tblStylePr w:type="firstCol">
      <w:rPr>
        <w:rFonts w:ascii="Arial" w:hAnsi="Arial"/>
        <w:color w:val="F2F2F2"/>
        <w:sz w:val="22"/>
      </w:rPr>
      <w:tcPr>
        <w:shd w:val="clear" w:color="FFFFFF" w:themeFill="accent2" w:themeFillTint="97" w:themeColor="accent2" w:themeTint="97"/>
      </w:tcPr>
    </w:tblStylePr>
    <w:tblStylePr w:type="firstRow">
      <w:rPr>
        <w:rFonts w:ascii="Arial" w:hAnsi="Arial"/>
        <w:color w:val="F2F2F2"/>
        <w:sz w:val="22"/>
      </w:rPr>
      <w:tcPr>
        <w:shd w:val="clear" w:color="FFFFFF" w:themeFill="accent2" w:themeFillTint="97" w:themeColor="accent2" w:themeTint="97"/>
      </w:tcPr>
    </w:tblStylePr>
    <w:tblStylePr w:type="lastCol">
      <w:rPr>
        <w:rFonts w:ascii="Arial" w:hAnsi="Arial"/>
        <w:color w:val="F2F2F2"/>
        <w:sz w:val="22"/>
      </w:rPr>
      <w:tcPr>
        <w:shd w:val="clear" w:color="FFFFFF" w:themeFill="accent2" w:themeFillTint="97" w:themeColor="accent2" w:themeTint="97"/>
      </w:tcPr>
    </w:tblStylePr>
    <w:tblStylePr w:type="lastRow">
      <w:rPr>
        <w:rFonts w:ascii="Arial" w:hAnsi="Arial"/>
        <w:color w:val="F2F2F2"/>
        <w:sz w:val="22"/>
      </w:rPr>
      <w:tcPr>
        <w:shd w:val="clear" w:color="FFFFFF" w:themeFill="accent2" w:themeFillTint="97" w:themeColor="accent2" w:themeTint="97"/>
      </w:tcPr>
    </w:tblStylePr>
  </w:style>
  <w:style w:type="table" w:styleId="161">
    <w:name w:val="Bordered &amp; Lined - Accent 3"/>
    <w:basedOn w:val="642"/>
    <w:uiPriority w:val="99"/>
    <w:rPr>
      <w:color w:val="404040"/>
    </w:rPr>
    <w:pPr>
      <w:spacing w:lineRule="auto" w:line="240" w:after="0"/>
    </w:pPr>
    <w:tblPr>
      <w:tblStyleRowBandSize w:val="1"/>
      <w:tblStyleColBandSize w:val="1"/>
      <w:tblInd w:w="0" w:type="dxa"/>
      <w:tblBorders>
        <w:left w:val="single" w:color="000000" w:sz="4" w:space="0" w:themeColor="accent3" w:themeShade="95"/>
        <w:top w:val="single" w:color="000000" w:sz="4" w:space="0" w:themeColor="accent3" w:themeShade="95"/>
        <w:right w:val="single" w:color="000000" w:sz="4" w:space="0" w:themeColor="accent3" w:themeShade="95"/>
        <w:bottom w:val="single" w:color="000000" w:sz="4" w:space="0" w:themeColor="accent3" w:themeShade="95"/>
        <w:insideV w:val="single" w:color="000000" w:sz="4" w:space="0" w:themeColor="accent3" w:themeShade="95"/>
        <w:insideH w:val="single" w:color="000000" w:sz="4" w:space="0" w:themeColor="accent3"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3" w:themeFillTint="34" w:themeColor="accent3" w:themeTint="34"/>
      </w:tcPr>
    </w:tblStylePr>
    <w:tblStylePr w:type="band2Vert">
      <w:rPr>
        <w:rFonts w:ascii="Arial" w:hAnsi="Arial"/>
        <w:color w:val="404040"/>
        <w:sz w:val="22"/>
      </w:rPr>
      <w:tcPr>
        <w:shd w:val="clear" w:color="FFFFFF" w:themeFill="accent3" w:themeFillTint="34" w:themeColor="accent3" w:themeTint="34"/>
      </w:tcPr>
    </w:tblStylePr>
    <w:tblStylePr w:type="firstCol">
      <w:rPr>
        <w:rFonts w:ascii="Arial" w:hAnsi="Arial"/>
        <w:color w:val="F2F2F2"/>
        <w:sz w:val="22"/>
      </w:rPr>
      <w:tcPr>
        <w:shd w:val="clear" w:color="FFFFFF" w:themeFill="accent3" w:themeFillTint="FE" w:themeColor="accent3" w:themeTint="FE"/>
      </w:tcPr>
    </w:tblStylePr>
    <w:tblStylePr w:type="firstRow">
      <w:rPr>
        <w:rFonts w:ascii="Arial" w:hAnsi="Arial"/>
        <w:color w:val="F2F2F2"/>
        <w:sz w:val="22"/>
      </w:rPr>
      <w:tcPr>
        <w:shd w:val="clear" w:color="FFFFFF" w:themeFill="accent3" w:themeFillTint="FE" w:themeColor="accent3" w:themeTint="FE"/>
      </w:tcPr>
    </w:tblStylePr>
    <w:tblStylePr w:type="lastCol">
      <w:rPr>
        <w:rFonts w:ascii="Arial" w:hAnsi="Arial"/>
        <w:color w:val="F2F2F2"/>
        <w:sz w:val="22"/>
      </w:rPr>
      <w:tcPr>
        <w:shd w:val="clear" w:color="FFFFFF" w:themeFill="accent3" w:themeFillTint="FE" w:themeColor="accent3" w:themeTint="FE"/>
      </w:tcPr>
    </w:tblStylePr>
    <w:tblStylePr w:type="lastRow">
      <w:rPr>
        <w:rFonts w:ascii="Arial" w:hAnsi="Arial"/>
        <w:color w:val="F2F2F2"/>
        <w:sz w:val="22"/>
      </w:rPr>
      <w:tcPr>
        <w:shd w:val="clear" w:color="FFFFFF" w:themeFill="accent3" w:themeFillTint="FE" w:themeColor="accent3" w:themeTint="FE"/>
      </w:tcPr>
    </w:tblStylePr>
  </w:style>
  <w:style w:type="table" w:styleId="162">
    <w:name w:val="Bordered &amp; Lined - Accent 4"/>
    <w:basedOn w:val="642"/>
    <w:uiPriority w:val="99"/>
    <w:rPr>
      <w:color w:val="404040"/>
    </w:rPr>
    <w:pPr>
      <w:spacing w:lineRule="auto" w:line="240" w:after="0"/>
    </w:pPr>
    <w:tblPr>
      <w:tblStyleRowBandSize w:val="1"/>
      <w:tblStyleColBandSize w:val="1"/>
      <w:tblInd w:w="0" w:type="dxa"/>
      <w:tblBorders>
        <w:left w:val="single" w:color="000000" w:sz="4" w:space="0" w:themeColor="accent4" w:themeShade="95"/>
        <w:top w:val="single" w:color="000000" w:sz="4" w:space="0" w:themeColor="accent4" w:themeShade="95"/>
        <w:right w:val="single" w:color="000000" w:sz="4" w:space="0" w:themeColor="accent4" w:themeShade="95"/>
        <w:bottom w:val="single" w:color="000000" w:sz="4" w:space="0" w:themeColor="accent4" w:themeShade="95"/>
        <w:insideV w:val="single" w:color="000000" w:sz="4" w:space="0" w:themeColor="accent4" w:themeShade="95"/>
        <w:insideH w:val="single" w:color="000000" w:sz="4" w:space="0" w:themeColor="accent4"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4" w:themeFillTint="34" w:themeColor="accent4" w:themeTint="34"/>
      </w:tcPr>
    </w:tblStylePr>
    <w:tblStylePr w:type="band2Vert">
      <w:rPr>
        <w:rFonts w:ascii="Arial" w:hAnsi="Arial"/>
        <w:color w:val="404040"/>
        <w:sz w:val="22"/>
      </w:rPr>
      <w:tcPr>
        <w:shd w:val="clear" w:color="FFFFFF" w:themeFill="accent4" w:themeFillTint="34" w:themeColor="accent4" w:themeTint="34"/>
      </w:tcPr>
    </w:tblStylePr>
    <w:tblStylePr w:type="firstCol">
      <w:rPr>
        <w:rFonts w:ascii="Arial" w:hAnsi="Arial"/>
        <w:color w:val="F2F2F2"/>
        <w:sz w:val="22"/>
      </w:rPr>
      <w:tcPr>
        <w:shd w:val="clear" w:color="FFFFFF" w:themeFill="accent4" w:themeFillTint="9A" w:themeColor="accent4" w:themeTint="9A"/>
      </w:tcPr>
    </w:tblStylePr>
    <w:tblStylePr w:type="firstRow">
      <w:rPr>
        <w:rFonts w:ascii="Arial" w:hAnsi="Arial"/>
        <w:color w:val="F2F2F2"/>
        <w:sz w:val="22"/>
      </w:rPr>
      <w:tcPr>
        <w:shd w:val="clear" w:color="FFFFFF" w:themeFill="accent4" w:themeFillTint="9A" w:themeColor="accent4" w:themeTint="9A"/>
      </w:tcPr>
    </w:tblStylePr>
    <w:tblStylePr w:type="lastCol">
      <w:rPr>
        <w:rFonts w:ascii="Arial" w:hAnsi="Arial"/>
        <w:color w:val="F2F2F2"/>
        <w:sz w:val="22"/>
      </w:rPr>
      <w:tcPr>
        <w:shd w:val="clear" w:color="FFFFFF" w:themeFill="accent4" w:themeFillTint="9A" w:themeColor="accent4" w:themeTint="9A"/>
      </w:tcPr>
    </w:tblStylePr>
    <w:tblStylePr w:type="lastRow">
      <w:rPr>
        <w:rFonts w:ascii="Arial" w:hAnsi="Arial"/>
        <w:color w:val="F2F2F2"/>
        <w:sz w:val="22"/>
      </w:rPr>
      <w:tcPr>
        <w:shd w:val="clear" w:color="FFFFFF" w:themeFill="accent4" w:themeFillTint="9A" w:themeColor="accent4" w:themeTint="9A"/>
      </w:tcPr>
    </w:tblStylePr>
  </w:style>
  <w:style w:type="table" w:styleId="163">
    <w:name w:val="Bordered &amp; Lined - Accent 5"/>
    <w:basedOn w:val="642"/>
    <w:uiPriority w:val="99"/>
    <w:rPr>
      <w:color w:val="404040"/>
    </w:rPr>
    <w:pPr>
      <w:spacing w:lineRule="auto" w:line="240" w:after="0"/>
    </w:pPr>
    <w:tblPr>
      <w:tblStyleRowBandSize w:val="1"/>
      <w:tblStyleColBandSize w:val="1"/>
      <w:tblInd w:w="0" w:type="dxa"/>
      <w:tblBorders>
        <w:left w:val="single" w:color="000000" w:sz="4" w:space="0" w:themeColor="accent5" w:themeShade="95"/>
        <w:top w:val="single" w:color="000000" w:sz="4" w:space="0" w:themeColor="accent5" w:themeShade="95"/>
        <w:right w:val="single" w:color="000000" w:sz="4" w:space="0" w:themeColor="accent5" w:themeShade="95"/>
        <w:bottom w:val="single" w:color="000000" w:sz="4" w:space="0" w:themeColor="accent5" w:themeShade="95"/>
        <w:insideV w:val="single" w:color="000000" w:sz="4" w:space="0" w:themeColor="accent5" w:themeShade="95"/>
        <w:insideH w:val="single" w:color="000000" w:sz="4" w:space="0" w:themeColor="accent5"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5" w:themeFillTint="34" w:themeColor="accent5" w:themeTint="34"/>
      </w:tcPr>
    </w:tblStylePr>
    <w:tblStylePr w:type="band2Vert">
      <w:rPr>
        <w:rFonts w:ascii="Arial" w:hAnsi="Arial"/>
        <w:color w:val="404040"/>
        <w:sz w:val="22"/>
      </w:rPr>
      <w:tcPr>
        <w:shd w:val="clear" w:color="FFFFFF" w:themeFill="accent5" w:themeFillTint="34" w:themeColor="accent5" w:themeTint="34"/>
      </w:tcPr>
    </w:tblStylePr>
    <w:tblStylePr w:type="firstCol">
      <w:rPr>
        <w:rFonts w:ascii="Arial" w:hAnsi="Arial"/>
        <w:color w:val="F2F2F2"/>
        <w:sz w:val="22"/>
      </w:rPr>
      <w:tcPr>
        <w:shd w:val="clear" w:color="FFFFFF" w:themeFill="accent5" w:themeColor="accent5"/>
      </w:tcPr>
    </w:tblStylePr>
    <w:tblStylePr w:type="firstRow">
      <w:rPr>
        <w:rFonts w:ascii="Arial" w:hAnsi="Arial"/>
        <w:color w:val="F2F2F2"/>
        <w:sz w:val="22"/>
      </w:rPr>
      <w:tcPr>
        <w:shd w:val="clear" w:color="FFFFFF" w:themeFill="accent5" w:themeColor="accent5"/>
      </w:tcPr>
    </w:tblStylePr>
    <w:tblStylePr w:type="lastCol">
      <w:rPr>
        <w:rFonts w:ascii="Arial" w:hAnsi="Arial"/>
        <w:color w:val="F2F2F2"/>
        <w:sz w:val="22"/>
      </w:rPr>
      <w:tcPr>
        <w:shd w:val="clear" w:color="FFFFFF" w:themeFill="accent5" w:themeColor="accent5"/>
      </w:tcPr>
    </w:tblStylePr>
    <w:tblStylePr w:type="lastRow">
      <w:rPr>
        <w:rFonts w:ascii="Arial" w:hAnsi="Arial"/>
        <w:color w:val="F2F2F2"/>
        <w:sz w:val="22"/>
      </w:rPr>
      <w:tcPr>
        <w:shd w:val="clear" w:color="FFFFFF" w:themeFill="accent5" w:themeColor="accent5"/>
      </w:tcPr>
    </w:tblStylePr>
  </w:style>
  <w:style w:type="table" w:styleId="164">
    <w:name w:val="Bordered &amp; Lined - Accent 6"/>
    <w:basedOn w:val="642"/>
    <w:uiPriority w:val="99"/>
    <w:rPr>
      <w:color w:val="404040"/>
    </w:rPr>
    <w:pPr>
      <w:spacing w:lineRule="auto" w:line="240" w:after="0"/>
    </w:pPr>
    <w:tblPr>
      <w:tblStyleRowBandSize w:val="1"/>
      <w:tblStyleColBandSize w:val="1"/>
      <w:tblInd w:w="0" w:type="dxa"/>
      <w:tblBorders>
        <w:left w:val="single" w:color="000000" w:sz="4" w:space="0" w:themeColor="accent6" w:themeShade="95"/>
        <w:top w:val="single" w:color="000000" w:sz="4" w:space="0" w:themeColor="accent6" w:themeShade="95"/>
        <w:right w:val="single" w:color="000000" w:sz="4" w:space="0" w:themeColor="accent6" w:themeShade="95"/>
        <w:bottom w:val="single" w:color="000000" w:sz="4" w:space="0" w:themeColor="accent6" w:themeShade="95"/>
        <w:insideV w:val="single" w:color="000000" w:sz="4" w:space="0" w:themeColor="accent6" w:themeShade="95"/>
        <w:insideH w:val="single" w:color="000000" w:sz="4" w:space="0" w:themeColor="accent6"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6" w:themeFillTint="34" w:themeColor="accent6" w:themeTint="34"/>
      </w:tcPr>
    </w:tblStylePr>
    <w:tblStylePr w:type="band2Vert">
      <w:rPr>
        <w:rFonts w:ascii="Arial" w:hAnsi="Arial"/>
        <w:color w:val="404040"/>
        <w:sz w:val="22"/>
      </w:rPr>
      <w:tcPr>
        <w:shd w:val="clear" w:color="FFFFFF" w:themeFill="accent6" w:themeFillTint="34" w:themeColor="accent6" w:themeTint="34"/>
      </w:tcPr>
    </w:tblStylePr>
    <w:tblStylePr w:type="firstCol">
      <w:rPr>
        <w:rFonts w:ascii="Arial" w:hAnsi="Arial"/>
        <w:color w:val="F2F2F2"/>
        <w:sz w:val="22"/>
      </w:rPr>
      <w:tcPr>
        <w:shd w:val="clear" w:color="FFFFFF" w:themeFill="accent6" w:themeColor="accent6"/>
      </w:tcPr>
    </w:tblStylePr>
    <w:tblStylePr w:type="firstRow">
      <w:rPr>
        <w:rFonts w:ascii="Arial" w:hAnsi="Arial"/>
        <w:color w:val="F2F2F2"/>
        <w:sz w:val="22"/>
      </w:rPr>
      <w:tcPr>
        <w:shd w:val="clear" w:color="FFFFFF" w:themeFill="accent6" w:themeColor="accent6"/>
      </w:tcPr>
    </w:tblStylePr>
    <w:tblStylePr w:type="lastCol">
      <w:rPr>
        <w:rFonts w:ascii="Arial" w:hAnsi="Arial"/>
        <w:color w:val="F2F2F2"/>
        <w:sz w:val="22"/>
      </w:rPr>
      <w:tcPr>
        <w:shd w:val="clear" w:color="FFFFFF" w:themeFill="accent6" w:themeColor="accent6"/>
      </w:tcPr>
    </w:tblStylePr>
    <w:tblStylePr w:type="lastRow">
      <w:rPr>
        <w:rFonts w:ascii="Arial" w:hAnsi="Arial"/>
        <w:color w:val="F2F2F2"/>
        <w:sz w:val="22"/>
      </w:rPr>
      <w:tcPr>
        <w:shd w:val="clear" w:color="FFFFFF" w:themeFill="accent6" w:themeColor="accent6"/>
      </w:tcPr>
    </w:tblStylePr>
  </w:style>
  <w:style w:type="table" w:styleId="165">
    <w:name w:val="Bordered"/>
    <w:basedOn w:val="642"/>
    <w:uiPriority w:val="99"/>
    <w:pPr>
      <w:spacing w:lineRule="auto" w:line="240" w:after="0"/>
    </w:pPr>
    <w:tblPr>
      <w:tblStyleRowBandSize w:val="1"/>
      <w:tblStyleColBandSize w:val="1"/>
      <w:tblInd w:w="0" w:type="dxa"/>
      <w:tbl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insideV w:val="single" w:color="000000" w:sz="4" w:space="0" w:themeColor="text1" w:themeTint="26"/>
        <w:insideH w:val="single" w:color="000000" w:sz="4" w:space="0" w:themeColor="text1" w:themeTint="26"/>
      </w:tblBorders>
    </w:tblPr>
    <w:tblStylePr w:type="band1Horz">
      <w:rPr>
        <w:rFonts w:ascii="Arial" w:hAnsi="Arial"/>
        <w:color w:val="404040"/>
        <w:sz w:val="22"/>
      </w:rPr>
      <w:tcPr>
        <w:tc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text1" w:themeTint="80"/>
        </w:tcBorders>
      </w:tcPr>
    </w:tblStylePr>
    <w:tblStylePr w:type="lastCol">
      <w:rPr>
        <w:rFonts w:ascii="Arial" w:hAnsi="Arial"/>
        <w:color w:val="404040"/>
        <w:sz w:val="22"/>
      </w:rPr>
      <w:tcPr>
        <w:tcBorders>
          <w:left w:val="single" w:color="000000" w:sz="12" w:space="0" w:themeColor="text1" w:themeTint="80"/>
        </w:tcBorders>
      </w:tcPr>
    </w:tblStylePr>
    <w:tblStylePr w:type="lastRow">
      <w:rPr>
        <w:rFonts w:ascii="Arial" w:hAnsi="Arial"/>
        <w:color w:val="404040"/>
        <w:sz w:val="22"/>
      </w:rPr>
      <w:tcPr>
        <w:tcBorders>
          <w:top w:val="single" w:color="000000" w:sz="12" w:space="0" w:themeColor="text1" w:themeTint="80"/>
        </w:tcBorders>
      </w:tcPr>
    </w:tblStylePr>
  </w:style>
  <w:style w:type="table" w:styleId="166">
    <w:name w:val="Bordered - Accent 1"/>
    <w:basedOn w:val="642"/>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1"/>
        </w:tcBorders>
      </w:tcPr>
    </w:tblStylePr>
    <w:tblStylePr w:type="lastCol">
      <w:rPr>
        <w:rFonts w:ascii="Arial" w:hAnsi="Arial"/>
        <w:color w:val="404040"/>
        <w:sz w:val="22"/>
      </w:rPr>
      <w:tcPr>
        <w:tcBorders>
          <w:left w:val="single" w:color="000000" w:sz="12" w:space="0" w:themeColor="accent1"/>
        </w:tcBorders>
      </w:tcPr>
    </w:tblStylePr>
    <w:tblStylePr w:type="lastRow">
      <w:rPr>
        <w:rFonts w:ascii="Arial" w:hAnsi="Arial"/>
        <w:color w:val="404040"/>
        <w:sz w:val="22"/>
      </w:rPr>
      <w:tcPr>
        <w:tcBorders>
          <w:top w:val="single" w:color="000000" w:sz="12" w:space="0" w:themeColor="accent1"/>
        </w:tcBorders>
      </w:tcPr>
    </w:tblStylePr>
  </w:style>
  <w:style w:type="table" w:styleId="167">
    <w:name w:val="Bordered - Accent 2"/>
    <w:basedOn w:val="642"/>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2" w:themeTint="97"/>
        </w:tcBorders>
      </w:tcPr>
    </w:tblStylePr>
    <w:tblStylePr w:type="lastCol">
      <w:rPr>
        <w:rFonts w:ascii="Arial" w:hAnsi="Arial"/>
        <w:color w:val="404040"/>
        <w:sz w:val="22"/>
      </w:rPr>
      <w:tcPr>
        <w:tcBorders>
          <w:left w:val="single" w:color="000000" w:sz="12" w:space="0" w:themeColor="accent2" w:themeTint="97"/>
        </w:tcBorders>
      </w:tcPr>
    </w:tblStylePr>
    <w:tblStylePr w:type="lastRow">
      <w:rPr>
        <w:rFonts w:ascii="Arial" w:hAnsi="Arial"/>
        <w:color w:val="404040"/>
        <w:sz w:val="22"/>
      </w:rPr>
      <w:tcPr>
        <w:tcBorders>
          <w:top w:val="single" w:color="000000" w:sz="12" w:space="0" w:themeColor="accent2" w:themeTint="97"/>
        </w:tcBorders>
      </w:tcPr>
    </w:tblStylePr>
  </w:style>
  <w:style w:type="table" w:styleId="168">
    <w:name w:val="Bordered - Accent 3"/>
    <w:basedOn w:val="642"/>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3" w:themeTint="98"/>
        </w:tcBorders>
      </w:tcPr>
    </w:tblStylePr>
    <w:tblStylePr w:type="lastCol">
      <w:rPr>
        <w:rFonts w:ascii="Arial" w:hAnsi="Arial"/>
        <w:color w:val="404040"/>
        <w:sz w:val="22"/>
      </w:rPr>
      <w:tcPr>
        <w:tcBorders>
          <w:left w:val="single" w:color="000000" w:sz="12" w:space="0" w:themeColor="accent3" w:themeTint="98"/>
        </w:tcBorders>
      </w:tcPr>
    </w:tblStylePr>
    <w:tblStylePr w:type="lastRow">
      <w:rPr>
        <w:rFonts w:ascii="Arial" w:hAnsi="Arial"/>
        <w:color w:val="404040"/>
        <w:sz w:val="22"/>
      </w:rPr>
      <w:tcPr>
        <w:tcBorders>
          <w:top w:val="single" w:color="000000" w:sz="12" w:space="0" w:themeColor="accent3" w:themeTint="98"/>
        </w:tcBorders>
      </w:tcPr>
    </w:tblStylePr>
  </w:style>
  <w:style w:type="table" w:styleId="169">
    <w:name w:val="Bordered - Accent 4"/>
    <w:basedOn w:val="642"/>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4" w:themeTint="9A"/>
        </w:tcBorders>
      </w:tcPr>
    </w:tblStylePr>
    <w:tblStylePr w:type="lastCol">
      <w:rPr>
        <w:rFonts w:ascii="Arial" w:hAnsi="Arial"/>
        <w:color w:val="404040"/>
        <w:sz w:val="22"/>
      </w:rPr>
      <w:tcPr>
        <w:tcBorders>
          <w:left w:val="single" w:color="000000" w:sz="12" w:space="0" w:themeColor="accent4" w:themeTint="9A"/>
        </w:tcBorders>
      </w:tcPr>
    </w:tblStylePr>
    <w:tblStylePr w:type="lastRow">
      <w:rPr>
        <w:rFonts w:ascii="Arial" w:hAnsi="Arial"/>
        <w:color w:val="404040"/>
        <w:sz w:val="22"/>
      </w:rPr>
      <w:tcPr>
        <w:tcBorders>
          <w:top w:val="single" w:color="000000" w:sz="12" w:space="0" w:themeColor="accent4" w:themeTint="9A"/>
        </w:tcBorders>
      </w:tcPr>
    </w:tblStylePr>
  </w:style>
  <w:style w:type="table" w:styleId="170">
    <w:name w:val="Bordered - Accent 5"/>
    <w:basedOn w:val="642"/>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5" w:themeTint="9A"/>
        </w:tcBorders>
      </w:tcPr>
    </w:tblStylePr>
    <w:tblStylePr w:type="lastCol">
      <w:rPr>
        <w:rFonts w:ascii="Arial" w:hAnsi="Arial"/>
        <w:color w:val="404040"/>
        <w:sz w:val="22"/>
      </w:rPr>
      <w:tcPr>
        <w:tcBorders>
          <w:left w:val="single" w:color="000000" w:sz="12" w:space="0" w:themeColor="accent5" w:themeTint="9A"/>
        </w:tcBorders>
      </w:tcPr>
    </w:tblStylePr>
    <w:tblStylePr w:type="lastRow">
      <w:rPr>
        <w:rFonts w:ascii="Arial" w:hAnsi="Arial"/>
        <w:color w:val="404040"/>
        <w:sz w:val="22"/>
      </w:rPr>
      <w:tcPr>
        <w:tcBorders>
          <w:top w:val="single" w:color="000000" w:sz="12" w:space="0" w:themeColor="accent5" w:themeTint="9A"/>
        </w:tcBorders>
      </w:tcPr>
    </w:tblStylePr>
  </w:style>
  <w:style w:type="table" w:styleId="171">
    <w:name w:val="Bordered - Accent 6"/>
    <w:basedOn w:val="642"/>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6" w:themeTint="98"/>
        </w:tcBorders>
      </w:tcPr>
    </w:tblStylePr>
    <w:tblStylePr w:type="lastCol">
      <w:rPr>
        <w:rFonts w:ascii="Arial" w:hAnsi="Arial"/>
        <w:color w:val="404040"/>
        <w:sz w:val="22"/>
      </w:rPr>
      <w:tcPr>
        <w:tcBorders>
          <w:left w:val="single" w:color="000000" w:sz="12" w:space="0" w:themeColor="accent6" w:themeTint="98"/>
        </w:tcBorders>
      </w:tcPr>
    </w:tblStylePr>
    <w:tblStylePr w:type="lastRow">
      <w:rPr>
        <w:rFonts w:ascii="Arial" w:hAnsi="Arial"/>
        <w:color w:val="404040"/>
        <w:sz w:val="22"/>
      </w:rPr>
      <w:tcPr>
        <w:tcBorders>
          <w:top w:val="single" w:color="000000" w:sz="12" w:space="0" w:themeColor="accent6" w:themeTint="98"/>
        </w:tcBorders>
      </w:tcPr>
    </w:tblStylePr>
  </w:style>
  <w:style w:type="paragraph" w:styleId="173">
    <w:name w:val="footnote text"/>
    <w:basedOn w:val="640"/>
    <w:link w:val="174"/>
    <w:uiPriority w:val="99"/>
    <w:semiHidden/>
    <w:unhideWhenUsed/>
    <w:rPr>
      <w:sz w:val="18"/>
    </w:rPr>
    <w:pPr>
      <w:spacing w:lineRule="auto" w:line="240" w:after="40"/>
    </w:pPr>
  </w:style>
  <w:style w:type="character" w:styleId="174">
    <w:name w:val="Footnote Text Char"/>
    <w:link w:val="173"/>
    <w:uiPriority w:val="99"/>
    <w:rPr>
      <w:sz w:val="18"/>
    </w:rPr>
  </w:style>
  <w:style w:type="character" w:styleId="175">
    <w:name w:val="footnote reference"/>
    <w:basedOn w:val="641"/>
    <w:uiPriority w:val="99"/>
    <w:unhideWhenUsed/>
    <w:rPr>
      <w:vertAlign w:val="superscript"/>
    </w:rPr>
  </w:style>
  <w:style w:type="paragraph" w:styleId="176">
    <w:name w:val="endnote text"/>
    <w:basedOn w:val="640"/>
    <w:link w:val="177"/>
    <w:uiPriority w:val="99"/>
    <w:semiHidden/>
    <w:unhideWhenUsed/>
    <w:rPr>
      <w:sz w:val="20"/>
    </w:rPr>
    <w:pPr>
      <w:spacing w:lineRule="auto" w:line="240" w:after="0"/>
    </w:pPr>
  </w:style>
  <w:style w:type="character" w:styleId="177">
    <w:name w:val="Endnote Text Char"/>
    <w:link w:val="176"/>
    <w:uiPriority w:val="99"/>
    <w:rPr>
      <w:sz w:val="20"/>
    </w:rPr>
  </w:style>
  <w:style w:type="character" w:styleId="178">
    <w:name w:val="endnote reference"/>
    <w:basedOn w:val="641"/>
    <w:uiPriority w:val="99"/>
    <w:semiHidden/>
    <w:unhideWhenUsed/>
    <w:rPr>
      <w:vertAlign w:val="superscript"/>
    </w:rPr>
  </w:style>
  <w:style w:type="paragraph" w:styleId="179">
    <w:name w:val="toc 1"/>
    <w:basedOn w:val="640"/>
    <w:next w:val="640"/>
    <w:uiPriority w:val="39"/>
    <w:unhideWhenUsed/>
    <w:pPr>
      <w:ind w:left="0" w:right="0" w:firstLine="0"/>
      <w:spacing w:after="57"/>
    </w:pPr>
  </w:style>
  <w:style w:type="paragraph" w:styleId="180">
    <w:name w:val="toc 2"/>
    <w:basedOn w:val="640"/>
    <w:next w:val="640"/>
    <w:uiPriority w:val="39"/>
    <w:unhideWhenUsed/>
    <w:pPr>
      <w:ind w:left="283" w:right="0" w:firstLine="0"/>
      <w:spacing w:after="57"/>
    </w:pPr>
  </w:style>
  <w:style w:type="paragraph" w:styleId="181">
    <w:name w:val="toc 3"/>
    <w:basedOn w:val="640"/>
    <w:next w:val="640"/>
    <w:uiPriority w:val="39"/>
    <w:unhideWhenUsed/>
    <w:pPr>
      <w:ind w:left="567" w:right="0" w:firstLine="0"/>
      <w:spacing w:after="57"/>
    </w:pPr>
  </w:style>
  <w:style w:type="paragraph" w:styleId="182">
    <w:name w:val="toc 4"/>
    <w:basedOn w:val="640"/>
    <w:next w:val="640"/>
    <w:uiPriority w:val="39"/>
    <w:unhideWhenUsed/>
    <w:pPr>
      <w:ind w:left="850" w:right="0" w:firstLine="0"/>
      <w:spacing w:after="57"/>
    </w:pPr>
  </w:style>
  <w:style w:type="paragraph" w:styleId="183">
    <w:name w:val="toc 5"/>
    <w:basedOn w:val="640"/>
    <w:next w:val="640"/>
    <w:uiPriority w:val="39"/>
    <w:unhideWhenUsed/>
    <w:pPr>
      <w:ind w:left="1134" w:right="0" w:firstLine="0"/>
      <w:spacing w:after="57"/>
    </w:pPr>
  </w:style>
  <w:style w:type="paragraph" w:styleId="184">
    <w:name w:val="toc 6"/>
    <w:basedOn w:val="640"/>
    <w:next w:val="640"/>
    <w:uiPriority w:val="39"/>
    <w:unhideWhenUsed/>
    <w:pPr>
      <w:ind w:left="1417" w:right="0" w:firstLine="0"/>
      <w:spacing w:after="57"/>
    </w:pPr>
  </w:style>
  <w:style w:type="paragraph" w:styleId="185">
    <w:name w:val="toc 7"/>
    <w:basedOn w:val="640"/>
    <w:next w:val="640"/>
    <w:uiPriority w:val="39"/>
    <w:unhideWhenUsed/>
    <w:pPr>
      <w:ind w:left="1701" w:right="0" w:firstLine="0"/>
      <w:spacing w:after="57"/>
    </w:pPr>
  </w:style>
  <w:style w:type="paragraph" w:styleId="186">
    <w:name w:val="toc 8"/>
    <w:basedOn w:val="640"/>
    <w:next w:val="640"/>
    <w:uiPriority w:val="39"/>
    <w:unhideWhenUsed/>
    <w:pPr>
      <w:ind w:left="1984" w:right="0" w:firstLine="0"/>
      <w:spacing w:after="57"/>
    </w:pPr>
  </w:style>
  <w:style w:type="paragraph" w:styleId="187">
    <w:name w:val="toc 9"/>
    <w:basedOn w:val="640"/>
    <w:next w:val="640"/>
    <w:uiPriority w:val="39"/>
    <w:unhideWhenUsed/>
    <w:pPr>
      <w:ind w:left="2268" w:right="0" w:firstLine="0"/>
      <w:spacing w:after="57"/>
    </w:pPr>
  </w:style>
  <w:style w:type="paragraph" w:styleId="188">
    <w:name w:val="TOC Heading"/>
    <w:uiPriority w:val="39"/>
    <w:unhideWhenUsed/>
  </w:style>
  <w:style w:type="paragraph" w:styleId="189">
    <w:name w:val="table of figures"/>
    <w:basedOn w:val="640"/>
    <w:next w:val="640"/>
    <w:uiPriority w:val="99"/>
    <w:unhideWhenUsed/>
    <w:pPr>
      <w:spacing w:after="0" w:afterAutospacing="0"/>
    </w:pPr>
  </w:style>
  <w:style w:type="paragraph" w:styleId="640" w:default="1">
    <w:name w:val="Normal"/>
    <w:qFormat/>
  </w:style>
  <w:style w:type="character" w:styleId="641" w:default="1">
    <w:name w:val="Default Paragraph Font"/>
    <w:uiPriority w:val="1"/>
    <w:semiHidden/>
    <w:unhideWhenUsed/>
  </w:style>
  <w:style w:type="table" w:styleId="642" w:default="1">
    <w:name w:val="Normal Table"/>
    <w:uiPriority w:val="99"/>
    <w:semiHidden/>
    <w:unhideWhenUsed/>
    <w:tblPr>
      <w:tblInd w:w="0" w:type="dxa"/>
      <w:tblCellMar>
        <w:left w:w="108" w:type="dxa"/>
        <w:top w:w="0" w:type="dxa"/>
        <w:right w:w="108" w:type="dxa"/>
        <w:bottom w:w="0" w:type="dxa"/>
      </w:tblCellMar>
    </w:tblPr>
  </w:style>
  <w:style w:type="numbering" w:styleId="643" w:default="1">
    <w:name w:val="No List"/>
    <w:uiPriority w:val="99"/>
    <w:semiHidden/>
    <w:unhideWhenUsed/>
  </w:style>
  <w:style w:type="paragraph" w:styleId="644">
    <w:name w:val="Balloon Text"/>
    <w:basedOn w:val="640"/>
    <w:link w:val="645"/>
    <w:uiPriority w:val="99"/>
    <w:semiHidden/>
    <w:unhideWhenUsed/>
    <w:rPr>
      <w:sz w:val="18"/>
      <w:szCs w:val="18"/>
    </w:rPr>
    <w:pPr>
      <w:spacing w:lineRule="auto" w:line="240" w:after="0"/>
    </w:pPr>
  </w:style>
  <w:style w:type="character" w:styleId="645" w:customStyle="1">
    <w:name w:val="Balloon Text Char"/>
    <w:basedOn w:val="641"/>
    <w:link w:val="644"/>
    <w:uiPriority w:val="99"/>
    <w:semiHidden/>
    <w:rPr>
      <w:sz w:val="18"/>
      <w:szCs w:val="18"/>
    </w:rPr>
  </w:style>
  <w:style w:type="paragraph" w:styleId="646">
    <w:name w:val="List Paragraph"/>
    <w:basedOn w:val="640"/>
    <w:qFormat/>
    <w:uiPriority w:val="34"/>
    <w:pPr>
      <w:ind w:firstLine="420"/>
    </w:pPr>
  </w:style>
  <w:style w:type="character" w:styleId="647">
    <w:name w:val="annotation reference"/>
    <w:basedOn w:val="641"/>
    <w:uiPriority w:val="99"/>
    <w:semiHidden/>
    <w:unhideWhenUsed/>
    <w:rPr>
      <w:sz w:val="16"/>
      <w:szCs w:val="16"/>
    </w:rPr>
  </w:style>
  <w:style w:type="paragraph" w:styleId="648">
    <w:name w:val="annotation text"/>
    <w:basedOn w:val="640"/>
    <w:link w:val="649"/>
    <w:qFormat/>
    <w:uiPriority w:val="99"/>
    <w:semiHidden/>
    <w:unhideWhenUsed/>
    <w:rPr>
      <w:sz w:val="20"/>
      <w:szCs w:val="20"/>
    </w:rPr>
    <w:pPr>
      <w:spacing w:lineRule="auto" w:line="240"/>
    </w:pPr>
  </w:style>
  <w:style w:type="character" w:styleId="649" w:customStyle="1">
    <w:name w:val="Comment Text Char"/>
    <w:basedOn w:val="641"/>
    <w:link w:val="648"/>
    <w:uiPriority w:val="99"/>
    <w:semiHidden/>
    <w:rPr>
      <w:sz w:val="20"/>
      <w:szCs w:val="20"/>
    </w:rPr>
  </w:style>
  <w:style w:type="paragraph" w:styleId="650">
    <w:name w:val="annotation subject"/>
    <w:basedOn w:val="648"/>
    <w:next w:val="648"/>
    <w:link w:val="651"/>
    <w:uiPriority w:val="99"/>
    <w:semiHidden/>
    <w:unhideWhenUsed/>
    <w:rPr>
      <w:b/>
      <w:bCs/>
    </w:rPr>
  </w:style>
  <w:style w:type="character" w:styleId="651" w:customStyle="1">
    <w:name w:val="Comment Subject Char"/>
    <w:basedOn w:val="649"/>
    <w:link w:val="650"/>
    <w:uiPriority w:val="99"/>
    <w:semiHidden/>
    <w:rPr>
      <w:b/>
      <w:bCs/>
      <w:sz w:val="20"/>
      <w:szCs w:val="20"/>
    </w:rPr>
  </w:style>
  <w:style w:type="paragraph" w:styleId="652">
    <w:name w:val="Header"/>
    <w:basedOn w:val="640"/>
    <w:link w:val="653"/>
    <w:uiPriority w:val="99"/>
    <w:unhideWhenUsed/>
    <w:rPr>
      <w:sz w:val="18"/>
      <w:szCs w:val="18"/>
    </w:rPr>
    <w:pPr>
      <w:jc w:val="center"/>
      <w:spacing w:lineRule="auto" w:line="240"/>
      <w:tabs>
        <w:tab w:val="center" w:pos="4153" w:leader="none"/>
        <w:tab w:val="right" w:pos="8306" w:leader="none"/>
      </w:tabs>
      <w:pBdr>
        <w:bottom w:val="single" w:sz="6" w:space="1" w:color="auto"/>
      </w:pBdr>
    </w:pPr>
  </w:style>
  <w:style w:type="character" w:styleId="653" w:customStyle="1">
    <w:name w:val="Header Char"/>
    <w:basedOn w:val="641"/>
    <w:link w:val="652"/>
    <w:uiPriority w:val="99"/>
    <w:rPr>
      <w:sz w:val="18"/>
      <w:szCs w:val="18"/>
    </w:rPr>
  </w:style>
  <w:style w:type="paragraph" w:styleId="654">
    <w:name w:val="Footer"/>
    <w:basedOn w:val="640"/>
    <w:link w:val="655"/>
    <w:uiPriority w:val="99"/>
    <w:unhideWhenUsed/>
    <w:rPr>
      <w:sz w:val="18"/>
      <w:szCs w:val="18"/>
    </w:rPr>
    <w:pPr>
      <w:spacing w:lineRule="auto" w:line="240"/>
      <w:tabs>
        <w:tab w:val="center" w:pos="4153" w:leader="none"/>
        <w:tab w:val="right" w:pos="8306" w:leader="none"/>
      </w:tabs>
    </w:pPr>
  </w:style>
  <w:style w:type="character" w:styleId="655" w:customStyle="1">
    <w:name w:val="Footer Char"/>
    <w:basedOn w:val="641"/>
    <w:link w:val="654"/>
    <w:uiPriority w:val="99"/>
    <w:rPr>
      <w:sz w:val="18"/>
      <w:szCs w:val="18"/>
    </w:rPr>
  </w:style>
  <w:style w:type="character" w:styleId="656">
    <w:name w:val="Hyperlink"/>
    <w:basedOn w:val="641"/>
    <w:uiPriority w:val="99"/>
    <w:unhideWhenUsed/>
    <w:rPr>
      <w:color w:val="0000FF" w:themeColor="hyperlink"/>
      <w:u w:val="single"/>
    </w:rPr>
  </w:style>
  <w:style w:type="character" w:styleId="657" w:customStyle="1">
    <w:name w:val="未处理的提及1"/>
    <w:basedOn w:val="641"/>
    <w:uiPriority w:val="99"/>
    <w:semiHidden/>
    <w:unhideWhenUsed/>
    <w:rPr>
      <w:color w:val="605E5C"/>
      <w:shd w:val="clear" w:fill="E1DFDD" w:color="auto"/>
    </w:rPr>
  </w:style>
  <w:style w:type="table" w:styleId="658">
    <w:name w:val="Table Grid"/>
    <w:basedOn w:val="642"/>
    <w:uiPriority w:val="59"/>
    <w:pPr>
      <w:spacing w:lineRule="auto" w:line="240" w:after="0"/>
    </w:pPr>
    <w:tblPr>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Pr>
  </w:style>
  <w:style w:type="character" w:styleId="659" w:customStyle="1">
    <w:name w:val="未处理的提及2"/>
    <w:basedOn w:val="641"/>
    <w:uiPriority w:val="99"/>
    <w:semiHidden/>
    <w:unhideWhenUsed/>
    <w:rPr>
      <w:color w:val="605E5C"/>
      <w:shd w:val="clear" w:fill="E1DFDD" w:color="auto"/>
    </w:rPr>
  </w:style>
  <w:style w:type="paragraph" w:styleId="660">
    <w:name w:val="Revision"/>
    <w:uiPriority w:val="99"/>
    <w:hidden/>
    <w:semiHidden/>
    <w:pPr>
      <w:spacing w:lineRule="auto" w:line="240" w:after="0"/>
    </w:p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customXml" Target="../customXml/item1.xml" /><Relationship Id="rId10" Type="http://schemas.openxmlformats.org/officeDocument/2006/relationships/customXml" Target="../customXml/item2.xml" /><Relationship Id="rId11" Type="http://schemas.openxmlformats.org/officeDocument/2006/relationships/hyperlink" Target="mailto:edman.tsang@chem.ox.ac.uk" TargetMode="External"/><Relationship Id="rId12" Type="http://schemas.openxmlformats.org/officeDocument/2006/relationships/image" Target="media/image1.png"/><Relationship Id="rId13" Type="http://schemas.openxmlformats.org/officeDocument/2006/relationships/image" Target="media/image2.jpg"/><Relationship Id="rId14" Type="http://schemas.openxmlformats.org/officeDocument/2006/relationships/image" Target="media/image3.jpg"/><Relationship Id="rId15" Type="http://schemas.openxmlformats.org/officeDocument/2006/relationships/image" Target="media/image4.jpg"/><Relationship Id="rId16" Type="http://schemas.openxmlformats.org/officeDocument/2006/relationships/image" Target="media/image5.png"/><Relationship Id="rId17" Type="http://schemas.openxmlformats.org/officeDocument/2006/relationships/image" Target="media/image6.pn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w:settings xmlns:w="http://schemas.openxmlformats.org/wordprocessingml/2006/main">
  <w:SpecialFormsHighlight w:val="c9c8ff"/>
</w:setting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AEA6B-E499-4EEF-98A3-AFBB261C493E}">
  <ds:schemaRefs>
    <ds:schemaRef ds:uri="http://schemas.onlyoffice.com/settingsCustom"/>
  </ds:schemaRefs>
</ds:datastoreItem>
</file>

<file path=customXml/itemProps2.xml><?xml version="1.0" encoding="utf-8"?>
<ds:datastoreItem xmlns:ds="http://schemas.openxmlformats.org/officeDocument/2006/customXml" ds:itemID="{5C68F7E9-19A2-4BED-B2FD-6B6DBD092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ONLYOFFICE/6.4.2.6</Application>
  <Company>University of Oxford</Company>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Edman Tsang's Group</dc:creator>
  <cp:keywords/>
  <dc:description/>
  <cp:lastModifiedBy>Anonym</cp:lastModifiedBy>
  <cp:revision>3</cp:revision>
  <dcterms:created xsi:type="dcterms:W3CDTF">2022-01-06T14:27:00Z</dcterms:created>
  <dcterms:modified xsi:type="dcterms:W3CDTF">2022-01-07T07:28:39Z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60cf60b2-4f39-339a-8bae-b8575db81785</vt:lpwstr>
  </property>
  <property fmtid="{D5CDD505-2E9C-101B-9397-08002B2CF9AE}" pid="4" name="Mendeley Citation Style_1">
    <vt:lpwstr>http://www.zotero.org/styles/nature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http://www.zotero.org/styles/materials-today</vt:lpwstr>
  </property>
  <property fmtid="{D5CDD505-2E9C-101B-9397-08002B2CF9AE}" pid="18" name="Mendeley Recent Style Name 6_1">
    <vt:lpwstr>Materials Today</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http://www.zotero.org/styles/nature-communications</vt:lpwstr>
  </property>
  <property fmtid="{D5CDD505-2E9C-101B-9397-08002B2CF9AE}" pid="22" name="Mendeley Recent Style Name 8_1">
    <vt:lpwstr>Nature Communications</vt:lpwstr>
  </property>
  <property fmtid="{D5CDD505-2E9C-101B-9397-08002B2CF9AE}" pid="23" name="Mendeley Recent Style Id 9_1">
    <vt:lpwstr>http://www.zotero.org/styles/nature-nanotechnology</vt:lpwstr>
  </property>
  <property fmtid="{D5CDD505-2E9C-101B-9397-08002B2CF9AE}" pid="24" name="Mendeley Recent Style Name 9_1">
    <vt:lpwstr>Nature Nanotechnology</vt:lpwstr>
  </property>
</Properties>
</file>